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ABB6" w14:textId="77777777" w:rsidR="00EF740A" w:rsidRDefault="00EF740A" w:rsidP="003F7DAE">
      <w:pPr>
        <w:spacing w:after="120"/>
        <w:jc w:val="center"/>
        <w:rPr>
          <w:rFonts w:asciiTheme="minorHAnsi" w:hAnsiTheme="minorHAnsi"/>
          <w:b/>
          <w:bCs/>
          <w:lang w:eastAsia="en-GB"/>
        </w:rPr>
      </w:pPr>
    </w:p>
    <w:p w14:paraId="42D60ABB" w14:textId="77777777" w:rsidR="00743462" w:rsidRDefault="00F964E1" w:rsidP="00743462">
      <w:pPr>
        <w:spacing w:after="120"/>
        <w:jc w:val="center"/>
        <w:rPr>
          <w:rFonts w:asciiTheme="minorHAnsi" w:hAnsiTheme="minorHAnsi"/>
          <w:b/>
          <w:bCs/>
          <w:lang w:eastAsia="en-GB"/>
        </w:rPr>
      </w:pPr>
      <w:r>
        <w:rPr>
          <w:rFonts w:asciiTheme="minorHAnsi" w:hAnsiTheme="minorHAnsi"/>
          <w:b/>
          <w:bCs/>
          <w:noProof/>
          <w:lang w:val="en-US"/>
        </w:rPr>
        <w:drawing>
          <wp:inline distT="0" distB="0" distL="0" distR="0" wp14:anchorId="383401DA" wp14:editId="3E37CE07">
            <wp:extent cx="1032657" cy="1152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WP Project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229" cy="117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688D1" w14:textId="77777777" w:rsidR="00B66A9F" w:rsidRPr="006B7984" w:rsidRDefault="00F964E1" w:rsidP="00F964E1">
      <w:pPr>
        <w:spacing w:after="120"/>
        <w:ind w:left="2880"/>
        <w:rPr>
          <w:rFonts w:asciiTheme="minorHAnsi" w:hAnsiTheme="minorHAnsi"/>
          <w:b/>
          <w:bCs/>
          <w:lang w:eastAsia="en-GB"/>
        </w:rPr>
      </w:pPr>
      <w:r>
        <w:rPr>
          <w:rFonts w:asciiTheme="minorHAnsi" w:hAnsiTheme="minorHAnsi"/>
          <w:b/>
          <w:bCs/>
          <w:lang w:eastAsia="en-GB"/>
        </w:rPr>
        <w:t xml:space="preserve">          A New </w:t>
      </w:r>
      <w:r w:rsidR="00D23599" w:rsidRPr="006B7984">
        <w:rPr>
          <w:rFonts w:asciiTheme="minorHAnsi" w:hAnsiTheme="minorHAnsi"/>
          <w:b/>
          <w:bCs/>
          <w:lang w:eastAsia="en-GB"/>
        </w:rPr>
        <w:t xml:space="preserve">Port Levy </w:t>
      </w:r>
      <w:r w:rsidR="00AE6E8A" w:rsidRPr="006B7984">
        <w:rPr>
          <w:rFonts w:asciiTheme="minorHAnsi" w:hAnsiTheme="minorHAnsi"/>
          <w:b/>
          <w:bCs/>
          <w:lang w:eastAsia="en-GB"/>
        </w:rPr>
        <w:t>Scheme</w:t>
      </w:r>
    </w:p>
    <w:p w14:paraId="009B8E73" w14:textId="77777777" w:rsidR="003A4D2D" w:rsidRDefault="00D23599" w:rsidP="00666940">
      <w:pPr>
        <w:spacing w:after="120"/>
        <w:jc w:val="center"/>
        <w:rPr>
          <w:rFonts w:asciiTheme="minorHAnsi" w:hAnsiTheme="minorHAnsi"/>
          <w:b/>
          <w:bCs/>
          <w:lang w:eastAsia="en-GB"/>
        </w:rPr>
      </w:pPr>
      <w:r w:rsidRPr="006B7984">
        <w:rPr>
          <w:rFonts w:asciiTheme="minorHAnsi" w:hAnsiTheme="minorHAnsi"/>
          <w:b/>
          <w:bCs/>
          <w:lang w:eastAsia="en-GB"/>
        </w:rPr>
        <w:t>Terms of Reference</w:t>
      </w:r>
      <w:r w:rsidR="00D35CAF">
        <w:rPr>
          <w:rFonts w:asciiTheme="minorHAnsi" w:hAnsiTheme="minorHAnsi"/>
          <w:b/>
          <w:bCs/>
          <w:lang w:eastAsia="en-GB"/>
        </w:rPr>
        <w:t xml:space="preserve"> (Template)</w:t>
      </w:r>
    </w:p>
    <w:p w14:paraId="6AB4810E" w14:textId="77777777" w:rsidR="004F6A8B" w:rsidRPr="006B7984" w:rsidRDefault="00D35CAF" w:rsidP="004F6A8B">
      <w:pPr>
        <w:spacing w:after="12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eastAsia="en-GB"/>
        </w:rPr>
        <w:t>Background</w:t>
      </w:r>
      <w:r w:rsidR="004F6A8B">
        <w:rPr>
          <w:rFonts w:asciiTheme="minorHAnsi" w:hAnsiTheme="minorHAnsi"/>
          <w:b/>
          <w:bCs/>
          <w:lang w:eastAsia="en-GB"/>
        </w:rPr>
        <w:t xml:space="preserve"> </w:t>
      </w:r>
      <w:r w:rsidR="007053EC">
        <w:rPr>
          <w:rFonts w:asciiTheme="minorHAnsi" w:hAnsiTheme="minorHAnsi"/>
          <w:b/>
          <w:bCs/>
          <w:lang w:eastAsia="en-GB"/>
        </w:rPr>
        <w:t>–</w:t>
      </w:r>
      <w:r w:rsidR="004F6A8B">
        <w:rPr>
          <w:rFonts w:asciiTheme="minorHAnsi" w:hAnsiTheme="minorHAnsi"/>
          <w:b/>
          <w:bCs/>
          <w:lang w:eastAsia="en-GB"/>
        </w:rPr>
        <w:t xml:space="preserve"> </w:t>
      </w:r>
      <w:r w:rsidR="007053EC">
        <w:rPr>
          <w:rFonts w:asciiTheme="minorHAnsi" w:hAnsiTheme="minorHAnsi"/>
          <w:b/>
          <w:bCs/>
          <w:lang w:eastAsia="en-GB"/>
        </w:rPr>
        <w:t xml:space="preserve">NGO </w:t>
      </w:r>
      <w:r w:rsidR="004F6A8B" w:rsidRPr="006B7984">
        <w:rPr>
          <w:rFonts w:asciiTheme="minorHAnsi" w:hAnsiTheme="minorHAnsi"/>
          <w:b/>
          <w:bCs/>
          <w:lang w:eastAsia="en-GB"/>
        </w:rPr>
        <w:t>Provision of Port Welfare Facilities</w:t>
      </w:r>
      <w:r w:rsidR="004F6A8B">
        <w:rPr>
          <w:rFonts w:asciiTheme="minorHAnsi" w:hAnsiTheme="minorHAnsi"/>
          <w:b/>
          <w:bCs/>
          <w:lang w:eastAsia="en-GB"/>
        </w:rPr>
        <w:t xml:space="preserve"> </w:t>
      </w:r>
    </w:p>
    <w:p w14:paraId="29C7E788" w14:textId="77777777" w:rsidR="004F6A8B" w:rsidRPr="006B7984" w:rsidRDefault="004F6A8B" w:rsidP="004D506E">
      <w:pPr>
        <w:spacing w:after="120"/>
        <w:jc w:val="both"/>
        <w:rPr>
          <w:rFonts w:asciiTheme="minorHAnsi" w:hAnsiTheme="minorHAnsi"/>
          <w:bCs/>
          <w:lang w:eastAsia="en-GB"/>
        </w:rPr>
      </w:pPr>
      <w:r>
        <w:rPr>
          <w:rFonts w:asciiTheme="minorHAnsi" w:hAnsiTheme="minorHAnsi"/>
          <w:lang w:val="en-US"/>
        </w:rPr>
        <w:t xml:space="preserve">In many ports around the world, </w:t>
      </w:r>
      <w:proofErr w:type="gramStart"/>
      <w:r>
        <w:rPr>
          <w:rFonts w:asciiTheme="minorHAnsi" w:hAnsiTheme="minorHAnsi"/>
          <w:lang w:val="en-US"/>
        </w:rPr>
        <w:t>shore based</w:t>
      </w:r>
      <w:proofErr w:type="gramEnd"/>
      <w:r>
        <w:rPr>
          <w:rFonts w:asciiTheme="minorHAnsi" w:hAnsiTheme="minorHAnsi"/>
          <w:lang w:val="en-US"/>
        </w:rPr>
        <w:t xml:space="preserve"> welfare facilities are </w:t>
      </w:r>
      <w:r w:rsidRPr="006B7984">
        <w:rPr>
          <w:rFonts w:asciiTheme="minorHAnsi" w:hAnsiTheme="minorHAnsi"/>
          <w:lang w:val="en-US"/>
        </w:rPr>
        <w:t>delivered by long standing and well respected registered maritime charities</w:t>
      </w:r>
      <w:r w:rsidR="00D03772" w:rsidRPr="00D03772">
        <w:rPr>
          <w:rFonts w:asciiTheme="minorHAnsi" w:hAnsiTheme="minorHAnsi"/>
          <w:bCs/>
          <w:lang w:eastAsia="en-GB"/>
        </w:rPr>
        <w:t xml:space="preserve"> </w:t>
      </w:r>
      <w:r w:rsidR="00D03772">
        <w:rPr>
          <w:rFonts w:asciiTheme="minorHAnsi" w:hAnsiTheme="minorHAnsi"/>
          <w:bCs/>
          <w:lang w:eastAsia="en-GB"/>
        </w:rPr>
        <w:t>who</w:t>
      </w:r>
      <w:r w:rsidR="00DF1843">
        <w:rPr>
          <w:rFonts w:asciiTheme="minorHAnsi" w:hAnsiTheme="minorHAnsi"/>
          <w:bCs/>
          <w:lang w:eastAsia="en-GB"/>
        </w:rPr>
        <w:t xml:space="preserve">se work </w:t>
      </w:r>
      <w:r w:rsidR="00D03772">
        <w:rPr>
          <w:rFonts w:asciiTheme="minorHAnsi" w:hAnsiTheme="minorHAnsi"/>
          <w:bCs/>
          <w:lang w:eastAsia="en-GB"/>
        </w:rPr>
        <w:t>enhance</w:t>
      </w:r>
      <w:r w:rsidR="00DF1843">
        <w:rPr>
          <w:rFonts w:asciiTheme="minorHAnsi" w:hAnsiTheme="minorHAnsi"/>
          <w:bCs/>
          <w:lang w:eastAsia="en-GB"/>
        </w:rPr>
        <w:t>s</w:t>
      </w:r>
      <w:r w:rsidR="00D03772">
        <w:rPr>
          <w:rFonts w:asciiTheme="minorHAnsi" w:hAnsiTheme="minorHAnsi"/>
          <w:bCs/>
          <w:lang w:eastAsia="en-GB"/>
        </w:rPr>
        <w:t xml:space="preserve"> </w:t>
      </w:r>
      <w:r w:rsidR="007053EC">
        <w:rPr>
          <w:rFonts w:asciiTheme="minorHAnsi" w:hAnsiTheme="minorHAnsi"/>
          <w:bCs/>
          <w:lang w:eastAsia="en-GB"/>
        </w:rPr>
        <w:t xml:space="preserve">the </w:t>
      </w:r>
      <w:r w:rsidR="00D03772">
        <w:rPr>
          <w:rFonts w:asciiTheme="minorHAnsi" w:hAnsiTheme="minorHAnsi"/>
          <w:bCs/>
          <w:lang w:eastAsia="en-GB"/>
        </w:rPr>
        <w:t>quality of the life</w:t>
      </w:r>
      <w:r w:rsidR="007053EC">
        <w:rPr>
          <w:rFonts w:asciiTheme="minorHAnsi" w:hAnsiTheme="minorHAnsi"/>
          <w:bCs/>
          <w:lang w:eastAsia="en-GB"/>
        </w:rPr>
        <w:t xml:space="preserve"> for visiting seafarers. </w:t>
      </w:r>
      <w:r w:rsidR="00B01323">
        <w:rPr>
          <w:rFonts w:asciiTheme="minorHAnsi" w:hAnsiTheme="minorHAnsi"/>
          <w:lang w:val="en-US"/>
        </w:rPr>
        <w:t xml:space="preserve">Defined in ILO MLC,2006 as ‘voluntary </w:t>
      </w:r>
      <w:r w:rsidR="004D506E">
        <w:rPr>
          <w:rFonts w:asciiTheme="minorHAnsi" w:hAnsiTheme="minorHAnsi"/>
          <w:lang w:val="en-US"/>
        </w:rPr>
        <w:t>organizations’</w:t>
      </w:r>
      <w:r w:rsidR="00B01323">
        <w:rPr>
          <w:rFonts w:asciiTheme="minorHAnsi" w:hAnsiTheme="minorHAnsi"/>
          <w:lang w:val="en-US"/>
        </w:rPr>
        <w:t xml:space="preserve"> </w:t>
      </w:r>
      <w:r w:rsidR="004D506E">
        <w:rPr>
          <w:rFonts w:asciiTheme="minorHAnsi" w:hAnsiTheme="minorHAnsi"/>
          <w:lang w:val="en-US"/>
        </w:rPr>
        <w:t>t</w:t>
      </w:r>
      <w:r w:rsidR="00B01323">
        <w:rPr>
          <w:rFonts w:asciiTheme="minorHAnsi" w:hAnsiTheme="minorHAnsi"/>
          <w:lang w:val="en-US"/>
        </w:rPr>
        <w:t xml:space="preserve">hese </w:t>
      </w:r>
      <w:r w:rsidR="004D506E">
        <w:rPr>
          <w:rFonts w:asciiTheme="minorHAnsi" w:hAnsiTheme="minorHAnsi"/>
          <w:lang w:val="en-US"/>
        </w:rPr>
        <w:t>include</w:t>
      </w:r>
      <w:r>
        <w:rPr>
          <w:rFonts w:asciiTheme="minorHAnsi" w:hAnsiTheme="minorHAnsi"/>
          <w:lang w:val="en-US"/>
        </w:rPr>
        <w:t xml:space="preserve"> </w:t>
      </w:r>
      <w:r w:rsidR="00D03772">
        <w:rPr>
          <w:rFonts w:asciiTheme="minorHAnsi" w:hAnsiTheme="minorHAnsi"/>
          <w:lang w:val="en-US"/>
        </w:rPr>
        <w:t xml:space="preserve">societies such as </w:t>
      </w:r>
      <w:r w:rsidRPr="006B7984">
        <w:rPr>
          <w:rFonts w:asciiTheme="minorHAnsi" w:hAnsiTheme="minorHAnsi"/>
          <w:lang w:val="en-US"/>
        </w:rPr>
        <w:t>Apostleship of the Sea, Mission to Seafarers</w:t>
      </w:r>
      <w:r w:rsidR="00D7534B">
        <w:rPr>
          <w:rFonts w:asciiTheme="minorHAnsi" w:hAnsiTheme="minorHAnsi"/>
          <w:lang w:val="en-US"/>
        </w:rPr>
        <w:t xml:space="preserve"> and </w:t>
      </w:r>
      <w:r>
        <w:rPr>
          <w:rFonts w:asciiTheme="minorHAnsi" w:hAnsiTheme="minorHAnsi"/>
          <w:lang w:val="en-US"/>
        </w:rPr>
        <w:t>Sailors’ Society,</w:t>
      </w:r>
      <w:r w:rsidRPr="006B798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to name but a few. </w:t>
      </w:r>
      <w:r w:rsidRPr="006B7984">
        <w:rPr>
          <w:rFonts w:asciiTheme="minorHAnsi" w:hAnsiTheme="minorHAnsi"/>
          <w:bCs/>
          <w:lang w:eastAsia="en-GB"/>
        </w:rPr>
        <w:t xml:space="preserve">Providing shore-based welfare </w:t>
      </w:r>
      <w:r w:rsidR="00DF1843">
        <w:rPr>
          <w:rFonts w:asciiTheme="minorHAnsi" w:hAnsiTheme="minorHAnsi"/>
          <w:bCs/>
          <w:lang w:eastAsia="en-GB"/>
        </w:rPr>
        <w:t xml:space="preserve">facilities and </w:t>
      </w:r>
      <w:r>
        <w:rPr>
          <w:rFonts w:asciiTheme="minorHAnsi" w:hAnsiTheme="minorHAnsi"/>
          <w:bCs/>
          <w:lang w:eastAsia="en-GB"/>
        </w:rPr>
        <w:t xml:space="preserve">services </w:t>
      </w:r>
      <w:r w:rsidRPr="006B7984">
        <w:rPr>
          <w:rFonts w:asciiTheme="minorHAnsi" w:hAnsiTheme="minorHAnsi"/>
          <w:bCs/>
          <w:lang w:eastAsia="en-GB"/>
        </w:rPr>
        <w:t>is a key role for these societies who offer seafarers both pastor</w:t>
      </w:r>
      <w:r w:rsidR="004D506E">
        <w:rPr>
          <w:rFonts w:asciiTheme="minorHAnsi" w:hAnsiTheme="minorHAnsi"/>
          <w:bCs/>
          <w:lang w:eastAsia="en-GB"/>
        </w:rPr>
        <w:t xml:space="preserve">al care and practical support. </w:t>
      </w:r>
      <w:r w:rsidRPr="006B7984">
        <w:rPr>
          <w:rFonts w:asciiTheme="minorHAnsi" w:hAnsiTheme="minorHAnsi"/>
          <w:lang w:val="en-US"/>
        </w:rPr>
        <w:t>The</w:t>
      </w:r>
      <w:r w:rsidR="007053EC">
        <w:rPr>
          <w:rFonts w:asciiTheme="minorHAnsi" w:hAnsiTheme="minorHAnsi"/>
          <w:lang w:val="en-US"/>
        </w:rPr>
        <w:t>se</w:t>
      </w:r>
      <w:r w:rsidRPr="006B7984">
        <w:rPr>
          <w:rFonts w:asciiTheme="minorHAnsi" w:hAnsiTheme="minorHAnsi"/>
          <w:lang w:val="en-US"/>
        </w:rPr>
        <w:t xml:space="preserve"> voluntary </w:t>
      </w:r>
      <w:proofErr w:type="spellStart"/>
      <w:r w:rsidRPr="006B7984">
        <w:rPr>
          <w:rFonts w:asciiTheme="minorHAnsi" w:hAnsiTheme="minorHAnsi"/>
          <w:lang w:val="en-US"/>
        </w:rPr>
        <w:t>organisations</w:t>
      </w:r>
      <w:proofErr w:type="spellEnd"/>
      <w:r w:rsidRPr="006B7984">
        <w:rPr>
          <w:rFonts w:asciiTheme="minorHAnsi" w:hAnsiTheme="minorHAnsi"/>
          <w:lang w:val="en-US"/>
        </w:rPr>
        <w:t xml:space="preserve"> fund and manage trained personnel to deliver a plethora of welfare services that include; distribution of </w:t>
      </w:r>
      <w:r>
        <w:rPr>
          <w:rFonts w:asciiTheme="minorHAnsi" w:hAnsiTheme="minorHAnsi"/>
          <w:lang w:val="en-US"/>
        </w:rPr>
        <w:t xml:space="preserve">port welfare information, </w:t>
      </w:r>
      <w:r w:rsidRPr="006B7984">
        <w:rPr>
          <w:rFonts w:asciiTheme="minorHAnsi" w:hAnsiTheme="minorHAnsi"/>
          <w:lang w:val="en-US"/>
        </w:rPr>
        <w:t xml:space="preserve">the operation of seafarer’s </w:t>
      </w:r>
      <w:proofErr w:type="spellStart"/>
      <w:r w:rsidRPr="006B7984">
        <w:rPr>
          <w:rFonts w:asciiTheme="minorHAnsi" w:hAnsiTheme="minorHAnsi"/>
          <w:lang w:val="en-US"/>
        </w:rPr>
        <w:t>centres</w:t>
      </w:r>
      <w:proofErr w:type="spellEnd"/>
      <w:r w:rsidRPr="006B7984">
        <w:rPr>
          <w:rFonts w:asciiTheme="minorHAnsi" w:hAnsiTheme="minorHAnsi"/>
          <w:lang w:val="en-US"/>
        </w:rPr>
        <w:t>, welfare visits</w:t>
      </w:r>
      <w:r>
        <w:rPr>
          <w:rFonts w:asciiTheme="minorHAnsi" w:hAnsiTheme="minorHAnsi"/>
          <w:lang w:val="en-US"/>
        </w:rPr>
        <w:t xml:space="preserve"> to seafarers’ onboard ship </w:t>
      </w:r>
      <w:r w:rsidRPr="006B7984">
        <w:rPr>
          <w:rFonts w:asciiTheme="minorHAnsi" w:hAnsiTheme="minorHAnsi"/>
          <w:lang w:val="en-US"/>
        </w:rPr>
        <w:t xml:space="preserve">and </w:t>
      </w:r>
      <w:r w:rsidR="00313790">
        <w:rPr>
          <w:rFonts w:asciiTheme="minorHAnsi" w:hAnsiTheme="minorHAnsi"/>
          <w:lang w:val="en-US"/>
        </w:rPr>
        <w:t xml:space="preserve">they </w:t>
      </w:r>
      <w:r w:rsidR="00B01323">
        <w:rPr>
          <w:rFonts w:asciiTheme="minorHAnsi" w:hAnsiTheme="minorHAnsi"/>
          <w:lang w:val="en-US"/>
        </w:rPr>
        <w:t xml:space="preserve">often </w:t>
      </w:r>
      <w:r>
        <w:rPr>
          <w:rFonts w:asciiTheme="minorHAnsi" w:hAnsiTheme="minorHAnsi"/>
          <w:lang w:val="en-US"/>
        </w:rPr>
        <w:t xml:space="preserve">provide </w:t>
      </w:r>
      <w:r w:rsidRPr="006B7984">
        <w:rPr>
          <w:rFonts w:asciiTheme="minorHAnsi" w:hAnsiTheme="minorHAnsi"/>
          <w:lang w:val="en-US"/>
        </w:rPr>
        <w:t xml:space="preserve">free, </w:t>
      </w:r>
      <w:r w:rsidR="00313790">
        <w:rPr>
          <w:rFonts w:asciiTheme="minorHAnsi" w:hAnsiTheme="minorHAnsi"/>
          <w:lang w:val="en-US"/>
        </w:rPr>
        <w:t xml:space="preserve">much needed, </w:t>
      </w:r>
      <w:r w:rsidRPr="006B7984">
        <w:rPr>
          <w:rFonts w:asciiTheme="minorHAnsi" w:hAnsiTheme="minorHAnsi"/>
          <w:lang w:val="en-US"/>
        </w:rPr>
        <w:t xml:space="preserve">port transportation. They also look after abandoned and hospitalized seafarers.  </w:t>
      </w:r>
      <w:r w:rsidRPr="006B7984">
        <w:rPr>
          <w:rFonts w:asciiTheme="minorHAnsi" w:hAnsiTheme="minorHAnsi"/>
          <w:bCs/>
          <w:lang w:eastAsia="en-GB"/>
        </w:rPr>
        <w:t>Each of the</w:t>
      </w:r>
      <w:r w:rsidR="004D506E">
        <w:rPr>
          <w:rFonts w:asciiTheme="minorHAnsi" w:hAnsiTheme="minorHAnsi"/>
          <w:bCs/>
          <w:lang w:eastAsia="en-GB"/>
        </w:rPr>
        <w:t xml:space="preserve"> </w:t>
      </w:r>
      <w:r w:rsidR="00313790">
        <w:rPr>
          <w:rFonts w:asciiTheme="minorHAnsi" w:hAnsiTheme="minorHAnsi"/>
          <w:bCs/>
          <w:lang w:eastAsia="en-GB"/>
        </w:rPr>
        <w:t xml:space="preserve">charities </w:t>
      </w:r>
      <w:r w:rsidRPr="006B7984">
        <w:rPr>
          <w:rFonts w:asciiTheme="minorHAnsi" w:hAnsiTheme="minorHAnsi"/>
          <w:bCs/>
          <w:lang w:eastAsia="en-GB"/>
        </w:rPr>
        <w:t xml:space="preserve">in whole, or in part, supports visiting seafarers.  </w:t>
      </w:r>
      <w:r w:rsidRPr="006B7984">
        <w:rPr>
          <w:rFonts w:asciiTheme="minorHAnsi" w:hAnsiTheme="minorHAnsi"/>
          <w:lang w:val="en-US"/>
        </w:rPr>
        <w:t xml:space="preserve">The voluntary </w:t>
      </w:r>
      <w:proofErr w:type="spellStart"/>
      <w:r w:rsidRPr="006B7984">
        <w:rPr>
          <w:rFonts w:asciiTheme="minorHAnsi" w:hAnsiTheme="minorHAnsi"/>
          <w:lang w:val="en-US"/>
        </w:rPr>
        <w:t>organisations</w:t>
      </w:r>
      <w:proofErr w:type="spellEnd"/>
      <w:r w:rsidRPr="006B7984">
        <w:rPr>
          <w:rFonts w:asciiTheme="minorHAnsi" w:hAnsiTheme="minorHAnsi"/>
          <w:lang w:val="en-US"/>
        </w:rPr>
        <w:t xml:space="preserve"> work in </w:t>
      </w:r>
      <w:r w:rsidRPr="006B7984">
        <w:rPr>
          <w:rFonts w:asciiTheme="minorHAnsi" w:hAnsiTheme="minorHAnsi"/>
          <w:bCs/>
          <w:lang w:eastAsia="en-GB"/>
        </w:rPr>
        <w:t>close collaboration and</w:t>
      </w:r>
      <w:r>
        <w:rPr>
          <w:rFonts w:asciiTheme="minorHAnsi" w:hAnsiTheme="minorHAnsi"/>
          <w:bCs/>
          <w:lang w:eastAsia="en-GB"/>
        </w:rPr>
        <w:t xml:space="preserve">, in countries/ports where </w:t>
      </w:r>
      <w:r w:rsidR="004D506E">
        <w:rPr>
          <w:rFonts w:asciiTheme="minorHAnsi" w:hAnsiTheme="minorHAnsi"/>
          <w:bCs/>
          <w:lang w:eastAsia="en-GB"/>
        </w:rPr>
        <w:t xml:space="preserve">local </w:t>
      </w:r>
      <w:r>
        <w:rPr>
          <w:rFonts w:asciiTheme="minorHAnsi" w:hAnsiTheme="minorHAnsi"/>
          <w:bCs/>
          <w:lang w:eastAsia="en-GB"/>
        </w:rPr>
        <w:t>welfare boards</w:t>
      </w:r>
      <w:r w:rsidR="00D03772" w:rsidRPr="00D03772">
        <w:rPr>
          <w:rFonts w:asciiTheme="minorHAnsi" w:hAnsiTheme="minorHAnsi"/>
          <w:bCs/>
          <w:lang w:eastAsia="en-GB"/>
        </w:rPr>
        <w:t xml:space="preserve"> </w:t>
      </w:r>
      <w:r w:rsidR="00313790">
        <w:rPr>
          <w:rFonts w:asciiTheme="minorHAnsi" w:hAnsiTheme="minorHAnsi"/>
          <w:bCs/>
          <w:lang w:eastAsia="en-GB"/>
        </w:rPr>
        <w:t xml:space="preserve">also known as Port Welfare Committees (PWCs) </w:t>
      </w:r>
      <w:r w:rsidR="00D03772">
        <w:rPr>
          <w:rFonts w:asciiTheme="minorHAnsi" w:hAnsiTheme="minorHAnsi"/>
          <w:bCs/>
          <w:lang w:eastAsia="en-GB"/>
        </w:rPr>
        <w:t>have been established</w:t>
      </w:r>
      <w:r>
        <w:rPr>
          <w:rFonts w:asciiTheme="minorHAnsi" w:hAnsiTheme="minorHAnsi"/>
          <w:bCs/>
          <w:lang w:eastAsia="en-GB"/>
        </w:rPr>
        <w:t xml:space="preserve">, </w:t>
      </w:r>
      <w:r w:rsidRPr="006B7984">
        <w:rPr>
          <w:rFonts w:asciiTheme="minorHAnsi" w:hAnsiTheme="minorHAnsi"/>
          <w:bCs/>
          <w:lang w:eastAsia="en-GB"/>
        </w:rPr>
        <w:t>their attendance at meetings to discuss welfare provision ensures there is neither duplication nor wastage of effort.</w:t>
      </w:r>
      <w:r>
        <w:rPr>
          <w:rFonts w:asciiTheme="minorHAnsi" w:hAnsiTheme="minorHAnsi"/>
          <w:bCs/>
          <w:lang w:eastAsia="en-GB"/>
        </w:rPr>
        <w:t xml:space="preserve">  </w:t>
      </w:r>
      <w:r w:rsidR="004D506E">
        <w:rPr>
          <w:rFonts w:asciiTheme="minorHAnsi" w:hAnsiTheme="minorHAnsi"/>
          <w:bCs/>
          <w:lang w:eastAsia="en-GB"/>
        </w:rPr>
        <w:t>T</w:t>
      </w:r>
      <w:r>
        <w:rPr>
          <w:rFonts w:asciiTheme="minorHAnsi" w:hAnsiTheme="minorHAnsi"/>
          <w:bCs/>
          <w:lang w:eastAsia="en-GB"/>
        </w:rPr>
        <w:t xml:space="preserve">he vast majority of seafarers’ charities are not-for-profit organisations that rely </w:t>
      </w:r>
      <w:r w:rsidR="00B01323">
        <w:rPr>
          <w:rFonts w:asciiTheme="minorHAnsi" w:hAnsiTheme="minorHAnsi"/>
          <w:bCs/>
          <w:lang w:eastAsia="en-GB"/>
        </w:rPr>
        <w:t>great</w:t>
      </w:r>
      <w:r w:rsidR="00313790">
        <w:rPr>
          <w:rFonts w:asciiTheme="minorHAnsi" w:hAnsiTheme="minorHAnsi"/>
          <w:bCs/>
          <w:lang w:eastAsia="en-GB"/>
        </w:rPr>
        <w:t xml:space="preserve">ly </w:t>
      </w:r>
      <w:r>
        <w:rPr>
          <w:rFonts w:asciiTheme="minorHAnsi" w:hAnsiTheme="minorHAnsi"/>
          <w:bCs/>
          <w:lang w:eastAsia="en-GB"/>
        </w:rPr>
        <w:t xml:space="preserve">on the success of their </w:t>
      </w:r>
      <w:proofErr w:type="gramStart"/>
      <w:r>
        <w:rPr>
          <w:rFonts w:asciiTheme="minorHAnsi" w:hAnsiTheme="minorHAnsi"/>
          <w:bCs/>
          <w:lang w:eastAsia="en-GB"/>
        </w:rPr>
        <w:t>fund raising</w:t>
      </w:r>
      <w:proofErr w:type="gramEnd"/>
      <w:r>
        <w:rPr>
          <w:rFonts w:asciiTheme="minorHAnsi" w:hAnsiTheme="minorHAnsi"/>
          <w:bCs/>
          <w:lang w:eastAsia="en-GB"/>
        </w:rPr>
        <w:t xml:space="preserve"> </w:t>
      </w:r>
      <w:r w:rsidR="00313790">
        <w:rPr>
          <w:rFonts w:asciiTheme="minorHAnsi" w:hAnsiTheme="minorHAnsi"/>
          <w:bCs/>
          <w:lang w:eastAsia="en-GB"/>
        </w:rPr>
        <w:t xml:space="preserve">activities </w:t>
      </w:r>
      <w:r>
        <w:rPr>
          <w:rFonts w:asciiTheme="minorHAnsi" w:hAnsiTheme="minorHAnsi"/>
          <w:bCs/>
          <w:lang w:eastAsia="en-GB"/>
        </w:rPr>
        <w:t xml:space="preserve">to </w:t>
      </w:r>
      <w:r w:rsidR="00313790">
        <w:rPr>
          <w:rFonts w:asciiTheme="minorHAnsi" w:hAnsiTheme="minorHAnsi"/>
          <w:bCs/>
          <w:lang w:eastAsia="en-GB"/>
        </w:rPr>
        <w:t xml:space="preserve">support their important work. </w:t>
      </w:r>
      <w:r w:rsidR="004D506E">
        <w:rPr>
          <w:rFonts w:asciiTheme="minorHAnsi" w:hAnsiTheme="minorHAnsi"/>
          <w:bCs/>
          <w:lang w:eastAsia="en-GB"/>
        </w:rPr>
        <w:t>Irrespective of ILO MLC,</w:t>
      </w:r>
      <w:r w:rsidR="00D7534B">
        <w:rPr>
          <w:rFonts w:asciiTheme="minorHAnsi" w:hAnsiTheme="minorHAnsi"/>
          <w:bCs/>
          <w:lang w:eastAsia="en-GB"/>
        </w:rPr>
        <w:t xml:space="preserve"> </w:t>
      </w:r>
      <w:r w:rsidR="004D506E">
        <w:rPr>
          <w:rFonts w:asciiTheme="minorHAnsi" w:hAnsiTheme="minorHAnsi"/>
          <w:bCs/>
          <w:lang w:eastAsia="en-GB"/>
        </w:rPr>
        <w:t xml:space="preserve">2006, voluntary organisations </w:t>
      </w:r>
      <w:r w:rsidR="00313790">
        <w:rPr>
          <w:rFonts w:asciiTheme="minorHAnsi" w:hAnsiTheme="minorHAnsi"/>
          <w:bCs/>
          <w:lang w:eastAsia="en-GB"/>
        </w:rPr>
        <w:t xml:space="preserve">need financial </w:t>
      </w:r>
      <w:r w:rsidR="007053EC">
        <w:rPr>
          <w:rFonts w:asciiTheme="minorHAnsi" w:hAnsiTheme="minorHAnsi"/>
          <w:bCs/>
          <w:lang w:eastAsia="en-GB"/>
        </w:rPr>
        <w:t xml:space="preserve">help, particularly with revenue costs, </w:t>
      </w:r>
      <w:r w:rsidR="00313790">
        <w:rPr>
          <w:rFonts w:asciiTheme="minorHAnsi" w:hAnsiTheme="minorHAnsi"/>
          <w:bCs/>
          <w:lang w:eastAsia="en-GB"/>
        </w:rPr>
        <w:t xml:space="preserve">from the maritime </w:t>
      </w:r>
      <w:r w:rsidR="00D03772">
        <w:rPr>
          <w:rFonts w:asciiTheme="minorHAnsi" w:hAnsiTheme="minorHAnsi"/>
          <w:bCs/>
          <w:lang w:eastAsia="en-GB"/>
        </w:rPr>
        <w:t>industry</w:t>
      </w:r>
      <w:r w:rsidR="007053EC">
        <w:rPr>
          <w:rFonts w:asciiTheme="minorHAnsi" w:hAnsiTheme="minorHAnsi"/>
          <w:bCs/>
          <w:lang w:eastAsia="en-GB"/>
        </w:rPr>
        <w:t xml:space="preserve"> </w:t>
      </w:r>
      <w:r w:rsidR="004D506E">
        <w:rPr>
          <w:rFonts w:asciiTheme="minorHAnsi" w:hAnsiTheme="minorHAnsi"/>
          <w:bCs/>
          <w:lang w:eastAsia="en-GB"/>
        </w:rPr>
        <w:t xml:space="preserve">to </w:t>
      </w:r>
      <w:r w:rsidR="007053EC">
        <w:rPr>
          <w:rFonts w:asciiTheme="minorHAnsi" w:hAnsiTheme="minorHAnsi"/>
          <w:bCs/>
          <w:lang w:eastAsia="en-GB"/>
        </w:rPr>
        <w:t xml:space="preserve">continue to </w:t>
      </w:r>
      <w:r w:rsidR="004D506E">
        <w:rPr>
          <w:rFonts w:asciiTheme="minorHAnsi" w:hAnsiTheme="minorHAnsi"/>
          <w:bCs/>
          <w:lang w:eastAsia="en-GB"/>
        </w:rPr>
        <w:t xml:space="preserve">support </w:t>
      </w:r>
      <w:r w:rsidR="00D03772">
        <w:rPr>
          <w:rFonts w:asciiTheme="minorHAnsi" w:hAnsiTheme="minorHAnsi"/>
          <w:bCs/>
          <w:lang w:eastAsia="en-GB"/>
        </w:rPr>
        <w:t xml:space="preserve">and improve </w:t>
      </w:r>
      <w:r w:rsidR="00313790">
        <w:rPr>
          <w:rFonts w:asciiTheme="minorHAnsi" w:hAnsiTheme="minorHAnsi"/>
          <w:bCs/>
          <w:lang w:eastAsia="en-GB"/>
        </w:rPr>
        <w:t xml:space="preserve">seafarers’ welfare. </w:t>
      </w:r>
    </w:p>
    <w:p w14:paraId="750A0B7E" w14:textId="77777777" w:rsidR="00666940" w:rsidRDefault="00666940" w:rsidP="003F7DAE">
      <w:pPr>
        <w:spacing w:after="120"/>
        <w:jc w:val="both"/>
        <w:rPr>
          <w:rFonts w:asciiTheme="minorHAnsi" w:hAnsiTheme="minorHAnsi"/>
          <w:b/>
          <w:bCs/>
          <w:lang w:eastAsia="en-GB"/>
        </w:rPr>
      </w:pPr>
      <w:r>
        <w:rPr>
          <w:rFonts w:asciiTheme="minorHAnsi" w:hAnsiTheme="minorHAnsi"/>
          <w:b/>
          <w:bCs/>
          <w:lang w:eastAsia="en-GB"/>
        </w:rPr>
        <w:t>ILO MLC,2006</w:t>
      </w:r>
    </w:p>
    <w:p w14:paraId="1D67DEBB" w14:textId="77777777" w:rsidR="00C83B7F" w:rsidRPr="00666940" w:rsidRDefault="00C83B7F" w:rsidP="003F7DAE">
      <w:pPr>
        <w:spacing w:after="120"/>
        <w:jc w:val="both"/>
        <w:rPr>
          <w:rFonts w:asciiTheme="minorHAnsi" w:hAnsiTheme="minorHAnsi"/>
          <w:bCs/>
          <w:lang w:eastAsia="en-GB"/>
        </w:rPr>
      </w:pPr>
      <w:r w:rsidRPr="00666940">
        <w:rPr>
          <w:rFonts w:asciiTheme="minorHAnsi" w:hAnsiTheme="minorHAnsi"/>
          <w:bCs/>
          <w:lang w:eastAsia="en-GB"/>
        </w:rPr>
        <w:t>The purpose of Regulation 4.4,</w:t>
      </w:r>
      <w:r w:rsidR="000D185D" w:rsidRPr="00666940">
        <w:rPr>
          <w:rFonts w:asciiTheme="minorHAnsi" w:hAnsiTheme="minorHAnsi"/>
          <w:bCs/>
          <w:lang w:eastAsia="en-GB"/>
        </w:rPr>
        <w:t xml:space="preserve"> </w:t>
      </w:r>
      <w:r w:rsidRPr="00666940">
        <w:rPr>
          <w:rFonts w:asciiTheme="minorHAnsi" w:hAnsiTheme="minorHAnsi"/>
          <w:bCs/>
          <w:lang w:eastAsia="en-GB"/>
        </w:rPr>
        <w:t xml:space="preserve">Standard A4.4 and Guidelines B4.4.1, to B4.4.6 of the Maritime Labour Convention 2006 is to ensure that seafarers working on board a ship have access to </w:t>
      </w:r>
      <w:proofErr w:type="gramStart"/>
      <w:r w:rsidRPr="00666940">
        <w:rPr>
          <w:rFonts w:asciiTheme="minorHAnsi" w:hAnsiTheme="minorHAnsi"/>
          <w:bCs/>
          <w:lang w:eastAsia="en-GB"/>
        </w:rPr>
        <w:t>shore based</w:t>
      </w:r>
      <w:proofErr w:type="gramEnd"/>
      <w:r w:rsidRPr="00666940">
        <w:rPr>
          <w:rFonts w:asciiTheme="minorHAnsi" w:hAnsiTheme="minorHAnsi"/>
          <w:bCs/>
          <w:lang w:eastAsia="en-GB"/>
        </w:rPr>
        <w:t xml:space="preserve"> facilities and services to secure their health and </w:t>
      </w:r>
      <w:r w:rsidR="000D185D" w:rsidRPr="00666940">
        <w:rPr>
          <w:rFonts w:asciiTheme="minorHAnsi" w:hAnsiTheme="minorHAnsi"/>
          <w:bCs/>
          <w:lang w:eastAsia="en-GB"/>
        </w:rPr>
        <w:t>well-being</w:t>
      </w:r>
      <w:r w:rsidRPr="00666940">
        <w:rPr>
          <w:rFonts w:asciiTheme="minorHAnsi" w:hAnsiTheme="minorHAnsi"/>
          <w:bCs/>
          <w:lang w:eastAsia="en-GB"/>
        </w:rPr>
        <w:t xml:space="preserve">.  </w:t>
      </w:r>
    </w:p>
    <w:p w14:paraId="34D86C73" w14:textId="77777777" w:rsidR="00A219DE" w:rsidRPr="00666940" w:rsidRDefault="00C83B7F" w:rsidP="003F7DAE">
      <w:pPr>
        <w:spacing w:after="120"/>
        <w:jc w:val="both"/>
        <w:rPr>
          <w:rFonts w:asciiTheme="minorHAnsi" w:hAnsiTheme="minorHAnsi"/>
          <w:bCs/>
          <w:lang w:eastAsia="en-GB"/>
        </w:rPr>
      </w:pPr>
      <w:r w:rsidRPr="00666940">
        <w:rPr>
          <w:rFonts w:asciiTheme="minorHAnsi" w:hAnsiTheme="minorHAnsi"/>
          <w:bCs/>
          <w:lang w:eastAsia="en-GB"/>
        </w:rPr>
        <w:t xml:space="preserve">In particular </w:t>
      </w:r>
      <w:r w:rsidR="00940C77" w:rsidRPr="00666940">
        <w:rPr>
          <w:rFonts w:asciiTheme="minorHAnsi" w:hAnsiTheme="minorHAnsi"/>
          <w:bCs/>
          <w:lang w:eastAsia="en-GB"/>
        </w:rPr>
        <w:t>Standard A</w:t>
      </w:r>
      <w:r w:rsidR="000664F2" w:rsidRPr="00666940">
        <w:rPr>
          <w:rFonts w:asciiTheme="minorHAnsi" w:hAnsiTheme="minorHAnsi"/>
          <w:bCs/>
          <w:lang w:eastAsia="en-GB"/>
        </w:rPr>
        <w:t>4.4</w:t>
      </w:r>
      <w:r w:rsidR="00940C77" w:rsidRPr="00666940">
        <w:rPr>
          <w:rFonts w:asciiTheme="minorHAnsi" w:hAnsiTheme="minorHAnsi"/>
          <w:bCs/>
          <w:lang w:eastAsia="en-GB"/>
        </w:rPr>
        <w:t xml:space="preserve"> </w:t>
      </w:r>
      <w:r w:rsidRPr="00666940">
        <w:rPr>
          <w:rFonts w:asciiTheme="minorHAnsi" w:hAnsiTheme="minorHAnsi"/>
          <w:bCs/>
          <w:lang w:eastAsia="en-GB"/>
        </w:rPr>
        <w:t>(</w:t>
      </w:r>
      <w:r w:rsidR="00940C77" w:rsidRPr="00666940">
        <w:rPr>
          <w:rFonts w:asciiTheme="minorHAnsi" w:hAnsiTheme="minorHAnsi"/>
          <w:bCs/>
          <w:lang w:eastAsia="en-GB"/>
        </w:rPr>
        <w:t>A</w:t>
      </w:r>
      <w:r w:rsidR="000664F2" w:rsidRPr="00666940">
        <w:rPr>
          <w:rFonts w:asciiTheme="minorHAnsi" w:hAnsiTheme="minorHAnsi"/>
          <w:bCs/>
          <w:lang w:eastAsia="en-GB"/>
        </w:rPr>
        <w:t>ccess to shore</w:t>
      </w:r>
      <w:r w:rsidR="00940C77" w:rsidRPr="00666940">
        <w:rPr>
          <w:rFonts w:asciiTheme="minorHAnsi" w:hAnsiTheme="minorHAnsi"/>
          <w:bCs/>
          <w:lang w:eastAsia="en-GB"/>
        </w:rPr>
        <w:t>-</w:t>
      </w:r>
      <w:r w:rsidR="000664F2" w:rsidRPr="00666940">
        <w:rPr>
          <w:rFonts w:asciiTheme="minorHAnsi" w:hAnsiTheme="minorHAnsi"/>
          <w:bCs/>
          <w:lang w:eastAsia="en-GB"/>
        </w:rPr>
        <w:t xml:space="preserve">based </w:t>
      </w:r>
      <w:r w:rsidR="00940C77" w:rsidRPr="00666940">
        <w:rPr>
          <w:rFonts w:asciiTheme="minorHAnsi" w:hAnsiTheme="minorHAnsi"/>
          <w:bCs/>
          <w:lang w:eastAsia="en-GB"/>
        </w:rPr>
        <w:t xml:space="preserve">welfare </w:t>
      </w:r>
      <w:r w:rsidR="000664F2" w:rsidRPr="00666940">
        <w:rPr>
          <w:rFonts w:asciiTheme="minorHAnsi" w:hAnsiTheme="minorHAnsi"/>
          <w:bCs/>
          <w:lang w:eastAsia="en-GB"/>
        </w:rPr>
        <w:t>facilities</w:t>
      </w:r>
      <w:r w:rsidRPr="00666940">
        <w:rPr>
          <w:rFonts w:asciiTheme="minorHAnsi" w:hAnsiTheme="minorHAnsi"/>
          <w:bCs/>
          <w:lang w:eastAsia="en-GB"/>
        </w:rPr>
        <w:t>)</w:t>
      </w:r>
      <w:r w:rsidR="00A219DE" w:rsidRPr="00666940">
        <w:rPr>
          <w:rFonts w:asciiTheme="minorHAnsi" w:hAnsiTheme="minorHAnsi"/>
          <w:bCs/>
          <w:lang w:eastAsia="en-GB"/>
        </w:rPr>
        <w:t xml:space="preserve"> states:</w:t>
      </w:r>
    </w:p>
    <w:p w14:paraId="6DC53A50" w14:textId="77777777" w:rsidR="00A219DE" w:rsidRPr="00666940" w:rsidRDefault="00A219DE" w:rsidP="003F7DAE">
      <w:pPr>
        <w:spacing w:after="120"/>
        <w:ind w:left="720" w:right="379"/>
        <w:jc w:val="both"/>
        <w:rPr>
          <w:rFonts w:asciiTheme="minorHAnsi" w:hAnsiTheme="minorHAnsi"/>
          <w:color w:val="000000"/>
          <w:lang w:val="en"/>
        </w:rPr>
      </w:pPr>
      <w:r w:rsidRPr="00666940">
        <w:rPr>
          <w:rFonts w:asciiTheme="minorHAnsi" w:hAnsiTheme="minorHAnsi"/>
          <w:i/>
          <w:color w:val="000000"/>
          <w:lang w:val="en"/>
        </w:rPr>
        <w:t xml:space="preserve">‘Each Member shall require, where welfare facilities exist on its territory, that they are available for the use of all seafarers, irrespective of nationality, race, </w:t>
      </w:r>
      <w:proofErr w:type="spellStart"/>
      <w:r w:rsidRPr="00666940">
        <w:rPr>
          <w:rFonts w:asciiTheme="minorHAnsi" w:hAnsiTheme="minorHAnsi"/>
          <w:i/>
          <w:color w:val="000000"/>
          <w:lang w:val="en"/>
        </w:rPr>
        <w:t>colour</w:t>
      </w:r>
      <w:proofErr w:type="spellEnd"/>
      <w:r w:rsidRPr="00666940">
        <w:rPr>
          <w:rFonts w:asciiTheme="minorHAnsi" w:hAnsiTheme="minorHAnsi"/>
          <w:i/>
          <w:color w:val="000000"/>
          <w:lang w:val="en"/>
        </w:rPr>
        <w:t>, sex, religion, political opinion or social origin and irrespective of the flag State of the ship on which they are employed or engaged or work.</w:t>
      </w:r>
      <w:r w:rsidRPr="00666940">
        <w:rPr>
          <w:rFonts w:asciiTheme="minorHAnsi" w:hAnsiTheme="minorHAnsi"/>
          <w:color w:val="000000"/>
          <w:lang w:val="en"/>
        </w:rPr>
        <w:t>’</w:t>
      </w:r>
    </w:p>
    <w:p w14:paraId="425AF44A" w14:textId="77777777" w:rsidR="00C83B7F" w:rsidRPr="00666940" w:rsidRDefault="00775545" w:rsidP="003F7DAE">
      <w:pPr>
        <w:spacing w:after="120"/>
        <w:jc w:val="both"/>
        <w:rPr>
          <w:rFonts w:asciiTheme="minorHAnsi" w:hAnsiTheme="minorHAnsi"/>
          <w:lang w:val="en-US"/>
        </w:rPr>
      </w:pPr>
      <w:r w:rsidRPr="00666940">
        <w:rPr>
          <w:rFonts w:asciiTheme="minorHAnsi" w:hAnsiTheme="minorHAnsi"/>
          <w:bCs/>
          <w:lang w:eastAsia="en-GB"/>
        </w:rPr>
        <w:t>G</w:t>
      </w:r>
      <w:r w:rsidR="00854DA6" w:rsidRPr="00666940">
        <w:rPr>
          <w:rFonts w:asciiTheme="minorHAnsi" w:hAnsiTheme="minorHAnsi"/>
          <w:bCs/>
          <w:lang w:eastAsia="en-GB"/>
        </w:rPr>
        <w:t>uideline</w:t>
      </w:r>
      <w:r w:rsidR="007E2D10" w:rsidRPr="00666940">
        <w:rPr>
          <w:rFonts w:asciiTheme="minorHAnsi" w:hAnsiTheme="minorHAnsi"/>
          <w:lang w:val="en-US"/>
        </w:rPr>
        <w:t xml:space="preserve"> B4.4.4 </w:t>
      </w:r>
      <w:r w:rsidR="00C83B7F" w:rsidRPr="00666940">
        <w:rPr>
          <w:rFonts w:asciiTheme="minorHAnsi" w:hAnsiTheme="minorHAnsi"/>
          <w:lang w:val="en-US"/>
        </w:rPr>
        <w:t>(</w:t>
      </w:r>
      <w:r w:rsidR="007E2D10" w:rsidRPr="00666940">
        <w:rPr>
          <w:rFonts w:asciiTheme="minorHAnsi" w:hAnsiTheme="minorHAnsi"/>
          <w:lang w:val="en-US"/>
        </w:rPr>
        <w:t>Financing of welfare facilities</w:t>
      </w:r>
      <w:r w:rsidR="00C83B7F" w:rsidRPr="00666940">
        <w:rPr>
          <w:rFonts w:asciiTheme="minorHAnsi" w:hAnsiTheme="minorHAnsi"/>
          <w:lang w:val="en-US"/>
        </w:rPr>
        <w:t xml:space="preserve">) suggests that </w:t>
      </w:r>
      <w:r w:rsidR="00C83B7F" w:rsidRPr="00666940">
        <w:rPr>
          <w:rFonts w:asciiTheme="minorHAnsi" w:hAnsiTheme="minorHAnsi"/>
          <w:bCs/>
          <w:lang w:eastAsia="en-GB"/>
        </w:rPr>
        <w:t>financial support should be made available through a number of ways including</w:t>
      </w:r>
      <w:r w:rsidR="00F964E1">
        <w:rPr>
          <w:rFonts w:asciiTheme="minorHAnsi" w:hAnsiTheme="minorHAnsi"/>
          <w:bCs/>
          <w:lang w:eastAsia="en-GB"/>
        </w:rPr>
        <w:t xml:space="preserve"> ‘</w:t>
      </w:r>
      <w:r w:rsidR="007E2D10" w:rsidRPr="00666940">
        <w:rPr>
          <w:rFonts w:asciiTheme="minorHAnsi" w:hAnsiTheme="minorHAnsi"/>
          <w:lang w:val="en-US"/>
        </w:rPr>
        <w:t>levies or other special dues from shipping sources’</w:t>
      </w:r>
      <w:r w:rsidRPr="00666940">
        <w:rPr>
          <w:rFonts w:asciiTheme="minorHAnsi" w:hAnsiTheme="minorHAnsi"/>
          <w:lang w:val="en-US"/>
        </w:rPr>
        <w:t xml:space="preserve">. </w:t>
      </w:r>
      <w:r w:rsidR="00C83B7F" w:rsidRPr="00666940">
        <w:rPr>
          <w:rFonts w:asciiTheme="minorHAnsi" w:hAnsiTheme="minorHAnsi"/>
          <w:lang w:val="en-US"/>
        </w:rPr>
        <w:t xml:space="preserve">It should be noted that Guidelines are non-mandatory </w:t>
      </w:r>
      <w:r w:rsidR="0016416F" w:rsidRPr="00666940">
        <w:rPr>
          <w:rFonts w:asciiTheme="minorHAnsi" w:hAnsiTheme="minorHAnsi"/>
          <w:lang w:val="en-US"/>
        </w:rPr>
        <w:t xml:space="preserve">and are for the consideration of Governments. </w:t>
      </w:r>
    </w:p>
    <w:p w14:paraId="365AA402" w14:textId="77777777" w:rsidR="00111E2A" w:rsidRPr="006B7984" w:rsidRDefault="0016416F" w:rsidP="003F7DAE">
      <w:pPr>
        <w:spacing w:after="120"/>
        <w:jc w:val="both"/>
        <w:rPr>
          <w:rFonts w:asciiTheme="minorHAnsi" w:hAnsiTheme="minorHAnsi"/>
          <w:lang w:val="en-US"/>
        </w:rPr>
      </w:pPr>
      <w:r w:rsidRPr="00666940">
        <w:rPr>
          <w:rFonts w:asciiTheme="minorHAnsi" w:hAnsiTheme="minorHAnsi"/>
          <w:lang w:val="en-US"/>
        </w:rPr>
        <w:t>However</w:t>
      </w:r>
      <w:r w:rsidR="000D185D" w:rsidRPr="00666940">
        <w:rPr>
          <w:rFonts w:asciiTheme="minorHAnsi" w:hAnsiTheme="minorHAnsi"/>
          <w:lang w:val="en-US"/>
        </w:rPr>
        <w:t>,</w:t>
      </w:r>
      <w:r w:rsidRPr="00666940">
        <w:rPr>
          <w:rFonts w:asciiTheme="minorHAnsi" w:hAnsiTheme="minorHAnsi"/>
          <w:lang w:val="en-US"/>
        </w:rPr>
        <w:t xml:space="preserve"> voluntary p</w:t>
      </w:r>
      <w:r w:rsidR="004A05B9" w:rsidRPr="00666940">
        <w:rPr>
          <w:rFonts w:asciiTheme="minorHAnsi" w:hAnsiTheme="minorHAnsi"/>
          <w:lang w:val="en-US"/>
        </w:rPr>
        <w:t xml:space="preserve">ort levies are an extremely important funding stream because port welfare services are delivered by non-governmental </w:t>
      </w:r>
      <w:proofErr w:type="spellStart"/>
      <w:r w:rsidR="004A05B9" w:rsidRPr="00666940">
        <w:rPr>
          <w:rFonts w:asciiTheme="minorHAnsi" w:hAnsiTheme="minorHAnsi"/>
          <w:lang w:val="en-US"/>
        </w:rPr>
        <w:t>organisations</w:t>
      </w:r>
      <w:proofErr w:type="spellEnd"/>
      <w:r w:rsidR="00F964E1">
        <w:rPr>
          <w:rFonts w:asciiTheme="minorHAnsi" w:hAnsiTheme="minorHAnsi"/>
          <w:lang w:val="en-US"/>
        </w:rPr>
        <w:t xml:space="preserve"> (NGOs)</w:t>
      </w:r>
      <w:r w:rsidR="00D03772">
        <w:rPr>
          <w:rFonts w:asciiTheme="minorHAnsi" w:hAnsiTheme="minorHAnsi"/>
          <w:lang w:val="en-US"/>
        </w:rPr>
        <w:t xml:space="preserve"> or </w:t>
      </w:r>
      <w:r w:rsidR="004A05B9" w:rsidRPr="00666940">
        <w:rPr>
          <w:rFonts w:asciiTheme="minorHAnsi" w:hAnsiTheme="minorHAnsi"/>
          <w:lang w:val="en-US"/>
        </w:rPr>
        <w:t xml:space="preserve">‘voluntary </w:t>
      </w:r>
      <w:proofErr w:type="spellStart"/>
      <w:r w:rsidR="004A05B9" w:rsidRPr="00666940">
        <w:rPr>
          <w:rFonts w:asciiTheme="minorHAnsi" w:hAnsiTheme="minorHAnsi"/>
          <w:lang w:val="en-US"/>
        </w:rPr>
        <w:t>organisati</w:t>
      </w:r>
      <w:r w:rsidR="00D7534B">
        <w:rPr>
          <w:rFonts w:asciiTheme="minorHAnsi" w:hAnsiTheme="minorHAnsi"/>
          <w:lang w:val="en-US"/>
        </w:rPr>
        <w:t>ons’</w:t>
      </w:r>
      <w:proofErr w:type="spellEnd"/>
      <w:r w:rsidR="00D7534B">
        <w:rPr>
          <w:rFonts w:asciiTheme="minorHAnsi" w:hAnsiTheme="minorHAnsi"/>
          <w:lang w:val="en-US"/>
        </w:rPr>
        <w:t xml:space="preserve"> that are dependent on fund</w:t>
      </w:r>
      <w:r w:rsidR="004A05B9" w:rsidRPr="00666940">
        <w:rPr>
          <w:rFonts w:asciiTheme="minorHAnsi" w:hAnsiTheme="minorHAnsi"/>
          <w:lang w:val="en-US"/>
        </w:rPr>
        <w:t>raising and donations</w:t>
      </w:r>
      <w:r w:rsidR="00D03772">
        <w:rPr>
          <w:rFonts w:asciiTheme="minorHAnsi" w:hAnsiTheme="minorHAnsi"/>
          <w:lang w:val="en-US"/>
        </w:rPr>
        <w:t xml:space="preserve">. </w:t>
      </w:r>
      <w:r w:rsidR="004A05B9" w:rsidRPr="00666940">
        <w:rPr>
          <w:rFonts w:asciiTheme="minorHAnsi" w:hAnsiTheme="minorHAnsi"/>
          <w:bCs/>
          <w:lang w:eastAsia="en-GB"/>
        </w:rPr>
        <w:t>Furthermore, t</w:t>
      </w:r>
      <w:r w:rsidR="00775545" w:rsidRPr="00666940">
        <w:rPr>
          <w:rFonts w:asciiTheme="minorHAnsi" w:hAnsiTheme="minorHAnsi"/>
          <w:bCs/>
          <w:lang w:eastAsia="en-GB"/>
        </w:rPr>
        <w:t xml:space="preserve">he services provided by the </w:t>
      </w:r>
      <w:r w:rsidR="004A05B9" w:rsidRPr="00666940">
        <w:rPr>
          <w:rFonts w:asciiTheme="minorHAnsi" w:hAnsiTheme="minorHAnsi"/>
          <w:bCs/>
          <w:lang w:eastAsia="en-GB"/>
        </w:rPr>
        <w:t>voluntary organisations</w:t>
      </w:r>
      <w:r w:rsidR="00775545" w:rsidRPr="00666940">
        <w:rPr>
          <w:rFonts w:asciiTheme="minorHAnsi" w:hAnsiTheme="minorHAnsi"/>
          <w:bCs/>
          <w:lang w:eastAsia="en-GB"/>
        </w:rPr>
        <w:t xml:space="preserve"> are not available from any other sources and benefit both port authorities and agents.</w:t>
      </w:r>
      <w:r w:rsidR="00775545" w:rsidRPr="006B7984">
        <w:rPr>
          <w:rFonts w:asciiTheme="minorHAnsi" w:hAnsiTheme="minorHAnsi"/>
          <w:bCs/>
          <w:lang w:eastAsia="en-GB"/>
        </w:rPr>
        <w:t xml:space="preserve">   </w:t>
      </w:r>
    </w:p>
    <w:p w14:paraId="4E52B47F" w14:textId="77777777" w:rsidR="00B8680D" w:rsidRPr="006B7984" w:rsidRDefault="0067470C" w:rsidP="003F7DAE">
      <w:pPr>
        <w:jc w:val="both"/>
        <w:rPr>
          <w:rFonts w:asciiTheme="minorHAnsi" w:eastAsia="Times New Roman" w:hAnsiTheme="minorHAnsi"/>
          <w:b/>
          <w:lang w:eastAsia="en-GB"/>
        </w:rPr>
      </w:pPr>
      <w:r>
        <w:rPr>
          <w:rFonts w:asciiTheme="minorHAnsi" w:eastAsia="Times New Roman" w:hAnsiTheme="minorHAnsi"/>
          <w:b/>
          <w:lang w:eastAsia="en-GB"/>
        </w:rPr>
        <w:t xml:space="preserve">New Port </w:t>
      </w:r>
      <w:r w:rsidR="00B8680D" w:rsidRPr="006B7984">
        <w:rPr>
          <w:rFonts w:asciiTheme="minorHAnsi" w:eastAsia="Times New Roman" w:hAnsiTheme="minorHAnsi"/>
          <w:b/>
          <w:lang w:eastAsia="en-GB"/>
        </w:rPr>
        <w:t>Levy Scheme</w:t>
      </w:r>
      <w:r>
        <w:rPr>
          <w:rFonts w:asciiTheme="minorHAnsi" w:eastAsia="Times New Roman" w:hAnsiTheme="minorHAnsi"/>
          <w:b/>
          <w:lang w:eastAsia="en-GB"/>
        </w:rPr>
        <w:t xml:space="preserve"> Recommendation</w:t>
      </w:r>
    </w:p>
    <w:p w14:paraId="55E348D2" w14:textId="77777777" w:rsidR="00313790" w:rsidRDefault="00313790" w:rsidP="003F7DAE">
      <w:pPr>
        <w:jc w:val="both"/>
        <w:rPr>
          <w:rFonts w:asciiTheme="minorHAnsi" w:eastAsia="Times New Roman" w:hAnsiTheme="minorHAnsi"/>
          <w:lang w:eastAsia="en-GB"/>
        </w:rPr>
      </w:pPr>
    </w:p>
    <w:p w14:paraId="0B6D9495" w14:textId="77777777" w:rsidR="00A51A56" w:rsidRPr="006B7984" w:rsidRDefault="0067470C" w:rsidP="003F7DAE">
      <w:p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 xml:space="preserve">Wherever possible and appropriate, a new port levy scheme </w:t>
      </w:r>
      <w:r w:rsidR="005665D9">
        <w:rPr>
          <w:rFonts w:asciiTheme="minorHAnsi" w:eastAsia="Times New Roman" w:hAnsiTheme="minorHAnsi"/>
          <w:lang w:eastAsia="en-GB"/>
        </w:rPr>
        <w:t xml:space="preserve">should be adopted </w:t>
      </w:r>
      <w:r>
        <w:rPr>
          <w:rFonts w:asciiTheme="minorHAnsi" w:eastAsia="Times New Roman" w:hAnsiTheme="minorHAnsi"/>
          <w:lang w:eastAsia="en-GB"/>
        </w:rPr>
        <w:t xml:space="preserve">to </w:t>
      </w:r>
      <w:r w:rsidR="005665D9">
        <w:rPr>
          <w:rFonts w:asciiTheme="minorHAnsi" w:eastAsia="Times New Roman" w:hAnsiTheme="minorHAnsi"/>
          <w:lang w:eastAsia="en-GB"/>
        </w:rPr>
        <w:t xml:space="preserve">support </w:t>
      </w:r>
      <w:r w:rsidR="00EC79E9">
        <w:rPr>
          <w:rFonts w:asciiTheme="minorHAnsi" w:eastAsia="Times New Roman" w:hAnsiTheme="minorHAnsi"/>
          <w:lang w:eastAsia="en-GB"/>
        </w:rPr>
        <w:t xml:space="preserve">the running costs of the </w:t>
      </w:r>
      <w:r w:rsidR="005665D9">
        <w:rPr>
          <w:rFonts w:asciiTheme="minorHAnsi" w:eastAsia="Times New Roman" w:hAnsiTheme="minorHAnsi"/>
          <w:lang w:eastAsia="en-GB"/>
        </w:rPr>
        <w:t>bone fide maritime charities</w:t>
      </w:r>
      <w:r w:rsidR="00EC79E9">
        <w:rPr>
          <w:rFonts w:asciiTheme="minorHAnsi" w:eastAsia="Times New Roman" w:hAnsiTheme="minorHAnsi"/>
          <w:lang w:eastAsia="en-GB"/>
        </w:rPr>
        <w:t xml:space="preserve"> that provide </w:t>
      </w:r>
      <w:r w:rsidR="00D03772">
        <w:rPr>
          <w:rFonts w:asciiTheme="minorHAnsi" w:eastAsia="Times New Roman" w:hAnsiTheme="minorHAnsi"/>
          <w:lang w:eastAsia="en-GB"/>
        </w:rPr>
        <w:t xml:space="preserve">port welfare services to </w:t>
      </w:r>
      <w:r>
        <w:rPr>
          <w:rFonts w:asciiTheme="minorHAnsi" w:eastAsia="Times New Roman" w:hAnsiTheme="minorHAnsi"/>
          <w:lang w:eastAsia="en-GB"/>
        </w:rPr>
        <w:t>seafarers</w:t>
      </w:r>
      <w:r w:rsidR="00D03772">
        <w:rPr>
          <w:rFonts w:asciiTheme="minorHAnsi" w:eastAsia="Times New Roman" w:hAnsiTheme="minorHAnsi"/>
          <w:lang w:eastAsia="en-GB"/>
        </w:rPr>
        <w:t xml:space="preserve">. </w:t>
      </w:r>
      <w:r w:rsidR="00EC79E9">
        <w:rPr>
          <w:rFonts w:asciiTheme="minorHAnsi" w:eastAsia="Times New Roman" w:hAnsiTheme="minorHAnsi"/>
          <w:lang w:eastAsia="en-GB"/>
        </w:rPr>
        <w:t xml:space="preserve">Ideally, this </w:t>
      </w:r>
      <w:r>
        <w:rPr>
          <w:rFonts w:asciiTheme="minorHAnsi" w:eastAsia="Times New Roman" w:hAnsiTheme="minorHAnsi"/>
          <w:lang w:eastAsia="en-GB"/>
        </w:rPr>
        <w:t xml:space="preserve">should be </w:t>
      </w:r>
      <w:r w:rsidR="006A70EA" w:rsidRPr="006B7984">
        <w:rPr>
          <w:rFonts w:asciiTheme="minorHAnsi" w:eastAsia="Times New Roman" w:hAnsiTheme="minorHAnsi"/>
          <w:lang w:eastAsia="en-GB"/>
        </w:rPr>
        <w:t xml:space="preserve">an </w:t>
      </w:r>
      <w:r w:rsidR="007053EC">
        <w:rPr>
          <w:rFonts w:asciiTheme="minorHAnsi" w:eastAsia="Times New Roman" w:hAnsiTheme="minorHAnsi"/>
          <w:lang w:eastAsia="en-GB"/>
        </w:rPr>
        <w:t>‘</w:t>
      </w:r>
      <w:r w:rsidR="00B8680D" w:rsidRPr="006B7984">
        <w:rPr>
          <w:rFonts w:asciiTheme="minorHAnsi" w:eastAsia="Times New Roman" w:hAnsiTheme="minorHAnsi"/>
          <w:lang w:eastAsia="en-GB"/>
        </w:rPr>
        <w:t>opt-out</w:t>
      </w:r>
      <w:r w:rsidR="007053EC">
        <w:rPr>
          <w:rFonts w:asciiTheme="minorHAnsi" w:eastAsia="Times New Roman" w:hAnsiTheme="minorHAnsi"/>
          <w:lang w:eastAsia="en-GB"/>
        </w:rPr>
        <w:t>’</w:t>
      </w:r>
      <w:r w:rsidR="00B8680D" w:rsidRPr="006B7984">
        <w:rPr>
          <w:rFonts w:asciiTheme="minorHAnsi" w:eastAsia="Times New Roman" w:hAnsiTheme="minorHAnsi"/>
          <w:lang w:eastAsia="en-GB"/>
        </w:rPr>
        <w:t xml:space="preserve"> scheme </w:t>
      </w:r>
      <w:r w:rsidR="007053EC" w:rsidRPr="006B7984">
        <w:rPr>
          <w:rFonts w:asciiTheme="minorHAnsi" w:eastAsia="Times New Roman" w:hAnsiTheme="minorHAnsi"/>
          <w:lang w:eastAsia="en-GB"/>
        </w:rPr>
        <w:t xml:space="preserve">determined and </w:t>
      </w:r>
      <w:r w:rsidR="007053EC">
        <w:rPr>
          <w:rFonts w:asciiTheme="minorHAnsi" w:eastAsia="Times New Roman" w:hAnsiTheme="minorHAnsi"/>
          <w:lang w:eastAsia="en-GB"/>
        </w:rPr>
        <w:t xml:space="preserve">set by the Port Authority </w:t>
      </w:r>
      <w:r w:rsidR="00B8680D" w:rsidRPr="006B7984">
        <w:rPr>
          <w:rFonts w:asciiTheme="minorHAnsi" w:eastAsia="Times New Roman" w:hAnsiTheme="minorHAnsi"/>
          <w:lang w:eastAsia="en-GB"/>
        </w:rPr>
        <w:t xml:space="preserve">with a donation level </w:t>
      </w:r>
      <w:r w:rsidR="007C17BA">
        <w:rPr>
          <w:rFonts w:asciiTheme="minorHAnsi" w:eastAsia="Times New Roman" w:hAnsiTheme="minorHAnsi"/>
          <w:lang w:eastAsia="en-GB"/>
        </w:rPr>
        <w:t xml:space="preserve">based on services </w:t>
      </w:r>
      <w:r w:rsidR="007053EC">
        <w:rPr>
          <w:rFonts w:asciiTheme="minorHAnsi" w:eastAsia="Times New Roman" w:hAnsiTheme="minorHAnsi"/>
          <w:lang w:eastAsia="en-GB"/>
        </w:rPr>
        <w:t xml:space="preserve">required or already </w:t>
      </w:r>
      <w:r w:rsidR="007C17BA">
        <w:rPr>
          <w:rFonts w:asciiTheme="minorHAnsi" w:eastAsia="Times New Roman" w:hAnsiTheme="minorHAnsi"/>
          <w:lang w:eastAsia="en-GB"/>
        </w:rPr>
        <w:t>rendered</w:t>
      </w:r>
      <w:r w:rsidR="007053EC">
        <w:rPr>
          <w:rFonts w:asciiTheme="minorHAnsi" w:eastAsia="Times New Roman" w:hAnsiTheme="minorHAnsi"/>
          <w:lang w:eastAsia="en-GB"/>
        </w:rPr>
        <w:t xml:space="preserve">. </w:t>
      </w:r>
      <w:r w:rsidR="00B8680D" w:rsidRPr="006B7984">
        <w:rPr>
          <w:rFonts w:asciiTheme="minorHAnsi" w:eastAsia="Times New Roman" w:hAnsiTheme="minorHAnsi"/>
          <w:lang w:eastAsia="en-GB"/>
        </w:rPr>
        <w:t xml:space="preserve">The agreed levy </w:t>
      </w:r>
      <w:r w:rsidR="005665D9">
        <w:rPr>
          <w:rFonts w:asciiTheme="minorHAnsi" w:eastAsia="Times New Roman" w:hAnsiTheme="minorHAnsi"/>
          <w:lang w:eastAsia="en-GB"/>
        </w:rPr>
        <w:t xml:space="preserve">should be </w:t>
      </w:r>
      <w:r w:rsidR="00B8680D" w:rsidRPr="006B7984">
        <w:rPr>
          <w:rFonts w:asciiTheme="minorHAnsi" w:eastAsia="Times New Roman" w:hAnsiTheme="minorHAnsi"/>
          <w:lang w:eastAsia="en-GB"/>
        </w:rPr>
        <w:t xml:space="preserve">included on the shipping agents </w:t>
      </w:r>
      <w:r w:rsidR="00B8680D" w:rsidRPr="006B7984">
        <w:rPr>
          <w:rFonts w:asciiTheme="minorHAnsi" w:eastAsia="Times New Roman" w:hAnsiTheme="minorHAnsi"/>
          <w:lang w:eastAsia="en-GB"/>
        </w:rPr>
        <w:lastRenderedPageBreak/>
        <w:t>final bill to the ship owner, or charterer.  The shipping agents sh</w:t>
      </w:r>
      <w:r w:rsidR="007C17BA">
        <w:rPr>
          <w:rFonts w:asciiTheme="minorHAnsi" w:eastAsia="Times New Roman" w:hAnsiTheme="minorHAnsi"/>
          <w:lang w:eastAsia="en-GB"/>
        </w:rPr>
        <w:t xml:space="preserve">ould </w:t>
      </w:r>
      <w:r w:rsidR="00B8680D" w:rsidRPr="006B7984">
        <w:rPr>
          <w:rFonts w:asciiTheme="minorHAnsi" w:eastAsia="Times New Roman" w:hAnsiTheme="minorHAnsi"/>
          <w:lang w:eastAsia="en-GB"/>
        </w:rPr>
        <w:t xml:space="preserve">forward this along with the port dues to the Port </w:t>
      </w:r>
      <w:r w:rsidR="00EC79E9">
        <w:rPr>
          <w:rFonts w:asciiTheme="minorHAnsi" w:eastAsia="Times New Roman" w:hAnsiTheme="minorHAnsi"/>
          <w:lang w:eastAsia="en-GB"/>
        </w:rPr>
        <w:t xml:space="preserve">Authority.  Thereafter the port should </w:t>
      </w:r>
      <w:r w:rsidR="00B8680D" w:rsidRPr="006B7984">
        <w:rPr>
          <w:rFonts w:asciiTheme="minorHAnsi" w:eastAsia="Times New Roman" w:hAnsiTheme="minorHAnsi"/>
          <w:lang w:eastAsia="en-GB"/>
        </w:rPr>
        <w:t>be responsible for forwa</w:t>
      </w:r>
      <w:r w:rsidR="00A51A56" w:rsidRPr="006B7984">
        <w:rPr>
          <w:rFonts w:asciiTheme="minorHAnsi" w:eastAsia="Times New Roman" w:hAnsiTheme="minorHAnsi"/>
          <w:lang w:eastAsia="en-GB"/>
        </w:rPr>
        <w:t>rding all monies raised by the s</w:t>
      </w:r>
      <w:r w:rsidR="00B8680D" w:rsidRPr="006B7984">
        <w:rPr>
          <w:rFonts w:asciiTheme="minorHAnsi" w:eastAsia="Times New Roman" w:hAnsiTheme="minorHAnsi"/>
          <w:lang w:eastAsia="en-GB"/>
        </w:rPr>
        <w:t xml:space="preserve">cheme to the </w:t>
      </w:r>
      <w:r w:rsidR="00EC79E9">
        <w:rPr>
          <w:rFonts w:asciiTheme="minorHAnsi" w:eastAsia="Times New Roman" w:hAnsiTheme="minorHAnsi"/>
          <w:lang w:eastAsia="en-GB"/>
        </w:rPr>
        <w:t xml:space="preserve">maritime charities concerned </w:t>
      </w:r>
      <w:r w:rsidR="00B8680D" w:rsidRPr="006B7984">
        <w:rPr>
          <w:rFonts w:asciiTheme="minorHAnsi" w:eastAsia="Times New Roman" w:hAnsiTheme="minorHAnsi"/>
          <w:lang w:eastAsia="en-GB"/>
        </w:rPr>
        <w:t>biannually on 1</w:t>
      </w:r>
      <w:r w:rsidR="00B8680D" w:rsidRPr="006B7984">
        <w:rPr>
          <w:rFonts w:asciiTheme="minorHAnsi" w:eastAsia="Times New Roman" w:hAnsiTheme="minorHAnsi"/>
          <w:vertAlign w:val="superscript"/>
          <w:lang w:eastAsia="en-GB"/>
        </w:rPr>
        <w:t>st</w:t>
      </w:r>
      <w:r w:rsidR="00B8680D" w:rsidRPr="006B7984">
        <w:rPr>
          <w:rFonts w:asciiTheme="minorHAnsi" w:eastAsia="Times New Roman" w:hAnsiTheme="minorHAnsi"/>
          <w:lang w:eastAsia="en-GB"/>
        </w:rPr>
        <w:t xml:space="preserve"> </w:t>
      </w:r>
      <w:r w:rsidR="00337A26" w:rsidRPr="006B7984">
        <w:rPr>
          <w:rFonts w:asciiTheme="minorHAnsi" w:eastAsia="Times New Roman" w:hAnsiTheme="minorHAnsi"/>
          <w:lang w:eastAsia="en-GB"/>
        </w:rPr>
        <w:t>May</w:t>
      </w:r>
      <w:r w:rsidR="00B8680D" w:rsidRPr="006B7984">
        <w:rPr>
          <w:rFonts w:asciiTheme="minorHAnsi" w:eastAsia="Times New Roman" w:hAnsiTheme="minorHAnsi"/>
          <w:lang w:eastAsia="en-GB"/>
        </w:rPr>
        <w:t xml:space="preserve"> and 1</w:t>
      </w:r>
      <w:r w:rsidR="00B8680D" w:rsidRPr="006B7984">
        <w:rPr>
          <w:rFonts w:asciiTheme="minorHAnsi" w:eastAsia="Times New Roman" w:hAnsiTheme="minorHAnsi"/>
          <w:vertAlign w:val="superscript"/>
          <w:lang w:eastAsia="en-GB"/>
        </w:rPr>
        <w:t>st</w:t>
      </w:r>
      <w:r w:rsidR="00B8680D" w:rsidRPr="006B7984">
        <w:rPr>
          <w:rFonts w:asciiTheme="minorHAnsi" w:eastAsia="Times New Roman" w:hAnsiTheme="minorHAnsi"/>
          <w:lang w:eastAsia="en-GB"/>
        </w:rPr>
        <w:t xml:space="preserve"> </w:t>
      </w:r>
      <w:r w:rsidR="00337A26" w:rsidRPr="006B7984">
        <w:rPr>
          <w:rFonts w:asciiTheme="minorHAnsi" w:eastAsia="Times New Roman" w:hAnsiTheme="minorHAnsi"/>
          <w:lang w:eastAsia="en-GB"/>
        </w:rPr>
        <w:t>November</w:t>
      </w:r>
      <w:r w:rsidR="00B8680D" w:rsidRPr="006B7984">
        <w:rPr>
          <w:rFonts w:asciiTheme="minorHAnsi" w:eastAsia="Times New Roman" w:hAnsiTheme="minorHAnsi"/>
          <w:lang w:eastAsia="en-GB"/>
        </w:rPr>
        <w:t xml:space="preserve">. </w:t>
      </w:r>
      <w:r w:rsidR="004A0FD5" w:rsidRPr="006B7984">
        <w:rPr>
          <w:rFonts w:asciiTheme="minorHAnsi" w:eastAsia="Times New Roman" w:hAnsiTheme="minorHAnsi"/>
          <w:lang w:eastAsia="en-GB"/>
        </w:rPr>
        <w:t xml:space="preserve">The </w:t>
      </w:r>
      <w:r w:rsidR="006B7984" w:rsidRPr="006B7984">
        <w:rPr>
          <w:rFonts w:asciiTheme="minorHAnsi" w:eastAsia="Times New Roman" w:hAnsiTheme="minorHAnsi"/>
          <w:lang w:eastAsia="en-GB"/>
        </w:rPr>
        <w:t xml:space="preserve">allocation of funds </w:t>
      </w:r>
      <w:r w:rsidR="00EC79E9">
        <w:rPr>
          <w:rFonts w:asciiTheme="minorHAnsi" w:eastAsia="Times New Roman" w:hAnsiTheme="minorHAnsi"/>
          <w:lang w:eastAsia="en-GB"/>
        </w:rPr>
        <w:t>should commence at a mutually agreed date</w:t>
      </w:r>
      <w:r w:rsidR="00D35CAF">
        <w:rPr>
          <w:rFonts w:asciiTheme="minorHAnsi" w:eastAsia="Times New Roman" w:hAnsiTheme="minorHAnsi"/>
          <w:lang w:eastAsia="en-GB"/>
        </w:rPr>
        <w:t xml:space="preserve">, normally 6 months after the </w:t>
      </w:r>
      <w:r w:rsidR="007C17BA">
        <w:rPr>
          <w:rFonts w:asciiTheme="minorHAnsi" w:eastAsia="Times New Roman" w:hAnsiTheme="minorHAnsi"/>
          <w:lang w:eastAsia="en-GB"/>
        </w:rPr>
        <w:t xml:space="preserve">port levy </w:t>
      </w:r>
      <w:r w:rsidR="00D35CAF">
        <w:rPr>
          <w:rFonts w:asciiTheme="minorHAnsi" w:eastAsia="Times New Roman" w:hAnsiTheme="minorHAnsi"/>
          <w:lang w:eastAsia="en-GB"/>
        </w:rPr>
        <w:t xml:space="preserve">start date. </w:t>
      </w:r>
    </w:p>
    <w:p w14:paraId="05E9C803" w14:textId="77777777" w:rsidR="00A51A56" w:rsidRPr="006B7984" w:rsidRDefault="00A51A56" w:rsidP="003F7DAE">
      <w:pPr>
        <w:jc w:val="both"/>
        <w:rPr>
          <w:rFonts w:asciiTheme="minorHAnsi" w:eastAsia="Times New Roman" w:hAnsiTheme="minorHAnsi"/>
          <w:lang w:eastAsia="en-GB"/>
        </w:rPr>
      </w:pPr>
    </w:p>
    <w:p w14:paraId="74AAD12F" w14:textId="77777777" w:rsidR="00337A26" w:rsidRPr="006B7984" w:rsidRDefault="000B0055" w:rsidP="003F7DAE">
      <w:pPr>
        <w:jc w:val="both"/>
        <w:rPr>
          <w:rFonts w:asciiTheme="minorHAnsi" w:eastAsia="Times New Roman" w:hAnsiTheme="minorHAnsi"/>
          <w:lang w:eastAsia="en-GB"/>
        </w:rPr>
      </w:pPr>
      <w:r w:rsidRPr="006B7984">
        <w:rPr>
          <w:rFonts w:asciiTheme="minorHAnsi" w:eastAsia="Times New Roman" w:hAnsiTheme="minorHAnsi"/>
          <w:lang w:eastAsia="en-GB"/>
        </w:rPr>
        <w:t xml:space="preserve">Monies raised </w:t>
      </w:r>
      <w:r w:rsidR="00C738F0" w:rsidRPr="006B7984">
        <w:rPr>
          <w:rFonts w:asciiTheme="minorHAnsi" w:eastAsia="Times New Roman" w:hAnsiTheme="minorHAnsi"/>
          <w:lang w:eastAsia="en-GB"/>
        </w:rPr>
        <w:t xml:space="preserve">by the port levy scheme </w:t>
      </w:r>
      <w:r w:rsidR="00D35CAF">
        <w:rPr>
          <w:rFonts w:asciiTheme="minorHAnsi" w:eastAsia="Times New Roman" w:hAnsiTheme="minorHAnsi"/>
          <w:lang w:eastAsia="en-GB"/>
        </w:rPr>
        <w:t xml:space="preserve">should be </w:t>
      </w:r>
      <w:r w:rsidR="00C738F0" w:rsidRPr="006B7984">
        <w:rPr>
          <w:rFonts w:asciiTheme="minorHAnsi" w:eastAsia="Times New Roman" w:hAnsiTheme="minorHAnsi"/>
          <w:lang w:eastAsia="en-GB"/>
        </w:rPr>
        <w:t xml:space="preserve">used </w:t>
      </w:r>
      <w:r w:rsidR="00337A26" w:rsidRPr="006B7984">
        <w:rPr>
          <w:rFonts w:asciiTheme="minorHAnsi" w:eastAsia="Times New Roman" w:hAnsiTheme="minorHAnsi"/>
          <w:lang w:eastAsia="en-GB"/>
        </w:rPr>
        <w:t xml:space="preserve">primarily </w:t>
      </w:r>
      <w:r w:rsidR="00C738F0" w:rsidRPr="006B7984">
        <w:rPr>
          <w:rFonts w:asciiTheme="minorHAnsi" w:eastAsia="Times New Roman" w:hAnsiTheme="minorHAnsi"/>
          <w:lang w:eastAsia="en-GB"/>
        </w:rPr>
        <w:t>to support revenue cost</w:t>
      </w:r>
      <w:r w:rsidR="00337A26" w:rsidRPr="006B7984">
        <w:rPr>
          <w:rFonts w:asciiTheme="minorHAnsi" w:eastAsia="Times New Roman" w:hAnsiTheme="minorHAnsi"/>
          <w:lang w:eastAsia="en-GB"/>
        </w:rPr>
        <w:t xml:space="preserve">s associated with </w:t>
      </w:r>
      <w:r w:rsidR="00C738F0" w:rsidRPr="006B7984">
        <w:rPr>
          <w:rFonts w:asciiTheme="minorHAnsi" w:eastAsia="Times New Roman" w:hAnsiTheme="minorHAnsi"/>
          <w:lang w:eastAsia="en-GB"/>
        </w:rPr>
        <w:t xml:space="preserve">personnel delivering welfare services. Funds </w:t>
      </w:r>
      <w:r w:rsidR="00D35CAF">
        <w:rPr>
          <w:rFonts w:asciiTheme="minorHAnsi" w:eastAsia="Times New Roman" w:hAnsiTheme="minorHAnsi"/>
          <w:lang w:eastAsia="en-GB"/>
        </w:rPr>
        <w:t xml:space="preserve">should be </w:t>
      </w:r>
      <w:r w:rsidR="00C738F0" w:rsidRPr="006B7984">
        <w:rPr>
          <w:rFonts w:asciiTheme="minorHAnsi" w:eastAsia="Times New Roman" w:hAnsiTheme="minorHAnsi"/>
          <w:lang w:eastAsia="en-GB"/>
        </w:rPr>
        <w:t>a</w:t>
      </w:r>
      <w:r w:rsidRPr="006B7984">
        <w:rPr>
          <w:rFonts w:asciiTheme="minorHAnsi" w:eastAsia="Times New Roman" w:hAnsiTheme="minorHAnsi"/>
          <w:lang w:eastAsia="en-GB"/>
        </w:rPr>
        <w:t xml:space="preserve">llocated and distributed </w:t>
      </w:r>
      <w:r w:rsidR="00C738F0" w:rsidRPr="006B7984">
        <w:rPr>
          <w:rFonts w:asciiTheme="minorHAnsi" w:eastAsia="Times New Roman" w:hAnsiTheme="minorHAnsi"/>
          <w:lang w:eastAsia="en-GB"/>
        </w:rPr>
        <w:t xml:space="preserve">to welfare organisations retrospectively through the </w:t>
      </w:r>
      <w:r w:rsidR="00D35CAF">
        <w:rPr>
          <w:rFonts w:asciiTheme="minorHAnsi" w:eastAsia="Times New Roman" w:hAnsiTheme="minorHAnsi"/>
          <w:lang w:eastAsia="en-GB"/>
        </w:rPr>
        <w:t xml:space="preserve">welfare board, </w:t>
      </w:r>
      <w:r w:rsidR="00C738F0" w:rsidRPr="006B7984">
        <w:rPr>
          <w:rFonts w:asciiTheme="minorHAnsi" w:eastAsia="Times New Roman" w:hAnsiTheme="minorHAnsi"/>
          <w:lang w:eastAsia="en-GB"/>
        </w:rPr>
        <w:t xml:space="preserve">based on a mutually agreed, </w:t>
      </w:r>
      <w:r w:rsidRPr="006B7984">
        <w:rPr>
          <w:rFonts w:asciiTheme="minorHAnsi" w:eastAsia="Times New Roman" w:hAnsiTheme="minorHAnsi"/>
          <w:lang w:eastAsia="en-GB"/>
        </w:rPr>
        <w:t xml:space="preserve">simple </w:t>
      </w:r>
      <w:r w:rsidR="00854DA6" w:rsidRPr="006B7984">
        <w:rPr>
          <w:rFonts w:asciiTheme="minorHAnsi" w:eastAsia="Times New Roman" w:hAnsiTheme="minorHAnsi"/>
          <w:lang w:eastAsia="en-GB"/>
        </w:rPr>
        <w:t>‘</w:t>
      </w:r>
      <w:r w:rsidRPr="006B7984">
        <w:rPr>
          <w:rFonts w:asciiTheme="minorHAnsi" w:eastAsia="Times New Roman" w:hAnsiTheme="minorHAnsi"/>
          <w:lang w:eastAsia="en-GB"/>
        </w:rPr>
        <w:t xml:space="preserve">points </w:t>
      </w:r>
      <w:r w:rsidR="00854DA6" w:rsidRPr="006B7984">
        <w:rPr>
          <w:rFonts w:asciiTheme="minorHAnsi" w:eastAsia="Times New Roman" w:hAnsiTheme="minorHAnsi"/>
          <w:lang w:eastAsia="en-GB"/>
        </w:rPr>
        <w:t xml:space="preserve">for welfare workers’ </w:t>
      </w:r>
      <w:r w:rsidRPr="006B7984">
        <w:rPr>
          <w:rFonts w:asciiTheme="minorHAnsi" w:eastAsia="Times New Roman" w:hAnsiTheme="minorHAnsi"/>
          <w:lang w:eastAsia="en-GB"/>
        </w:rPr>
        <w:t>formula</w:t>
      </w:r>
      <w:r w:rsidR="00C738F0" w:rsidRPr="006B7984">
        <w:rPr>
          <w:rFonts w:asciiTheme="minorHAnsi" w:eastAsia="Times New Roman" w:hAnsiTheme="minorHAnsi"/>
          <w:lang w:eastAsia="en-GB"/>
        </w:rPr>
        <w:t xml:space="preserve">.  The formula </w:t>
      </w:r>
      <w:r w:rsidR="007053EC">
        <w:rPr>
          <w:rFonts w:asciiTheme="minorHAnsi" w:eastAsia="Times New Roman" w:hAnsiTheme="minorHAnsi"/>
          <w:lang w:eastAsia="en-GB"/>
        </w:rPr>
        <w:t xml:space="preserve">is </w:t>
      </w:r>
      <w:r w:rsidR="00CB1889" w:rsidRPr="006B7984">
        <w:rPr>
          <w:rFonts w:asciiTheme="minorHAnsi" w:eastAsia="Times New Roman" w:hAnsiTheme="minorHAnsi"/>
          <w:lang w:eastAsia="en-GB"/>
        </w:rPr>
        <w:t xml:space="preserve">based on the number of </w:t>
      </w:r>
      <w:r w:rsidRPr="006B7984">
        <w:rPr>
          <w:rFonts w:asciiTheme="minorHAnsi" w:eastAsia="Times New Roman" w:hAnsiTheme="minorHAnsi"/>
          <w:lang w:eastAsia="en-GB"/>
        </w:rPr>
        <w:t>paid</w:t>
      </w:r>
      <w:r w:rsidR="00C738F0" w:rsidRPr="006B7984">
        <w:rPr>
          <w:rFonts w:asciiTheme="minorHAnsi" w:eastAsia="Times New Roman" w:hAnsiTheme="minorHAnsi"/>
          <w:lang w:eastAsia="en-GB"/>
        </w:rPr>
        <w:t xml:space="preserve"> and </w:t>
      </w:r>
      <w:r w:rsidRPr="006B7984">
        <w:rPr>
          <w:rFonts w:asciiTheme="minorHAnsi" w:eastAsia="Times New Roman" w:hAnsiTheme="minorHAnsi"/>
          <w:lang w:eastAsia="en-GB"/>
        </w:rPr>
        <w:t xml:space="preserve">volunteer employees </w:t>
      </w:r>
      <w:r w:rsidR="00C738F0" w:rsidRPr="006B7984">
        <w:rPr>
          <w:rFonts w:asciiTheme="minorHAnsi" w:eastAsia="Times New Roman" w:hAnsiTheme="minorHAnsi"/>
          <w:lang w:eastAsia="en-GB"/>
        </w:rPr>
        <w:t xml:space="preserve">involved in the </w:t>
      </w:r>
      <w:r w:rsidR="00CB1889" w:rsidRPr="006B7984">
        <w:rPr>
          <w:rFonts w:asciiTheme="minorHAnsi" w:eastAsia="Times New Roman" w:hAnsiTheme="minorHAnsi"/>
          <w:lang w:eastAsia="en-GB"/>
        </w:rPr>
        <w:t xml:space="preserve">actual </w:t>
      </w:r>
      <w:r w:rsidR="00C738F0" w:rsidRPr="006B7984">
        <w:rPr>
          <w:rFonts w:asciiTheme="minorHAnsi" w:eastAsia="Times New Roman" w:hAnsiTheme="minorHAnsi"/>
          <w:lang w:eastAsia="en-GB"/>
        </w:rPr>
        <w:t xml:space="preserve">delivery of port </w:t>
      </w:r>
      <w:r w:rsidRPr="006B7984">
        <w:rPr>
          <w:rFonts w:asciiTheme="minorHAnsi" w:eastAsia="Times New Roman" w:hAnsiTheme="minorHAnsi"/>
          <w:lang w:eastAsia="en-GB"/>
        </w:rPr>
        <w:t>welfare services</w:t>
      </w:r>
      <w:r w:rsidR="00C738F0" w:rsidRPr="006B7984">
        <w:rPr>
          <w:rFonts w:asciiTheme="minorHAnsi" w:eastAsia="Times New Roman" w:hAnsiTheme="minorHAnsi"/>
          <w:lang w:eastAsia="en-GB"/>
        </w:rPr>
        <w:t xml:space="preserve">. </w:t>
      </w:r>
      <w:r w:rsidRPr="006B7984">
        <w:rPr>
          <w:rFonts w:asciiTheme="minorHAnsi" w:eastAsia="Times New Roman" w:hAnsiTheme="minorHAnsi"/>
          <w:lang w:eastAsia="en-GB"/>
        </w:rPr>
        <w:t xml:space="preserve"> </w:t>
      </w:r>
      <w:r w:rsidR="00D35CAF">
        <w:rPr>
          <w:rFonts w:asciiTheme="minorHAnsi" w:eastAsia="Times New Roman" w:hAnsiTheme="minorHAnsi"/>
          <w:lang w:eastAsia="en-GB"/>
        </w:rPr>
        <w:t>In port</w:t>
      </w:r>
      <w:r w:rsidR="007C17BA">
        <w:rPr>
          <w:rFonts w:asciiTheme="minorHAnsi" w:eastAsia="Times New Roman" w:hAnsiTheme="minorHAnsi"/>
          <w:lang w:eastAsia="en-GB"/>
        </w:rPr>
        <w:t>s</w:t>
      </w:r>
      <w:r w:rsidR="00D35CAF">
        <w:rPr>
          <w:rFonts w:asciiTheme="minorHAnsi" w:eastAsia="Times New Roman" w:hAnsiTheme="minorHAnsi"/>
          <w:lang w:eastAsia="en-GB"/>
        </w:rPr>
        <w:t xml:space="preserve"> where there </w:t>
      </w:r>
      <w:r w:rsidR="007C17BA">
        <w:rPr>
          <w:rFonts w:asciiTheme="minorHAnsi" w:eastAsia="Times New Roman" w:hAnsiTheme="minorHAnsi"/>
          <w:lang w:eastAsia="en-GB"/>
        </w:rPr>
        <w:t xml:space="preserve">are </w:t>
      </w:r>
      <w:r w:rsidR="00D7534B">
        <w:rPr>
          <w:rFonts w:asciiTheme="minorHAnsi" w:eastAsia="Times New Roman" w:hAnsiTheme="minorHAnsi"/>
          <w:lang w:eastAsia="en-GB"/>
        </w:rPr>
        <w:t xml:space="preserve">no welfare boards </w:t>
      </w:r>
      <w:r w:rsidR="007C17BA">
        <w:rPr>
          <w:rFonts w:asciiTheme="minorHAnsi" w:eastAsia="Times New Roman" w:hAnsiTheme="minorHAnsi"/>
          <w:lang w:eastAsia="en-GB"/>
        </w:rPr>
        <w:t xml:space="preserve">the </w:t>
      </w:r>
      <w:r w:rsidR="00D35CAF">
        <w:rPr>
          <w:rFonts w:asciiTheme="minorHAnsi" w:eastAsia="Times New Roman" w:hAnsiTheme="minorHAnsi"/>
          <w:lang w:eastAsia="en-GB"/>
        </w:rPr>
        <w:t xml:space="preserve">Port Authority should pay directly to the maritime charities </w:t>
      </w:r>
      <w:r w:rsidR="007C17BA">
        <w:rPr>
          <w:rFonts w:asciiTheme="minorHAnsi" w:eastAsia="Times New Roman" w:hAnsiTheme="minorHAnsi"/>
          <w:lang w:eastAsia="en-GB"/>
        </w:rPr>
        <w:t xml:space="preserve">providing </w:t>
      </w:r>
      <w:r w:rsidR="00D7534B">
        <w:rPr>
          <w:rFonts w:asciiTheme="minorHAnsi" w:eastAsia="Times New Roman" w:hAnsiTheme="minorHAnsi"/>
          <w:lang w:eastAsia="en-GB"/>
        </w:rPr>
        <w:t xml:space="preserve">local </w:t>
      </w:r>
      <w:r w:rsidR="007C17BA">
        <w:rPr>
          <w:rFonts w:asciiTheme="minorHAnsi" w:eastAsia="Times New Roman" w:hAnsiTheme="minorHAnsi"/>
          <w:lang w:eastAsia="en-GB"/>
        </w:rPr>
        <w:t xml:space="preserve">services.  In </w:t>
      </w:r>
      <w:r w:rsidR="00D35CAF">
        <w:rPr>
          <w:rFonts w:asciiTheme="minorHAnsi" w:eastAsia="Times New Roman" w:hAnsiTheme="minorHAnsi"/>
          <w:lang w:eastAsia="en-GB"/>
        </w:rPr>
        <w:t xml:space="preserve">the case of international charities, </w:t>
      </w:r>
      <w:r w:rsidR="007C17BA">
        <w:rPr>
          <w:rFonts w:asciiTheme="minorHAnsi" w:eastAsia="Times New Roman" w:hAnsiTheme="minorHAnsi"/>
          <w:lang w:eastAsia="en-GB"/>
        </w:rPr>
        <w:t xml:space="preserve">the Port Authority should </w:t>
      </w:r>
      <w:r w:rsidR="007053EC">
        <w:rPr>
          <w:rFonts w:asciiTheme="minorHAnsi" w:eastAsia="Times New Roman" w:hAnsiTheme="minorHAnsi"/>
          <w:lang w:eastAsia="en-GB"/>
        </w:rPr>
        <w:t xml:space="preserve">ensure that the port </w:t>
      </w:r>
      <w:r w:rsidR="00D35CAF">
        <w:rPr>
          <w:rFonts w:asciiTheme="minorHAnsi" w:eastAsia="Times New Roman" w:hAnsiTheme="minorHAnsi"/>
          <w:lang w:eastAsia="en-GB"/>
        </w:rPr>
        <w:t xml:space="preserve">levy is ‘ring fenced’ for their port. </w:t>
      </w:r>
      <w:r w:rsidRPr="006B7984">
        <w:rPr>
          <w:rFonts w:asciiTheme="minorHAnsi" w:eastAsia="Times New Roman" w:hAnsiTheme="minorHAnsi"/>
          <w:lang w:eastAsia="en-GB"/>
        </w:rPr>
        <w:t xml:space="preserve"> </w:t>
      </w:r>
    </w:p>
    <w:p w14:paraId="5827FDD2" w14:textId="77777777" w:rsidR="00337A26" w:rsidRPr="006B7984" w:rsidRDefault="00337A26" w:rsidP="003F7DAE">
      <w:pPr>
        <w:jc w:val="both"/>
        <w:rPr>
          <w:rFonts w:asciiTheme="minorHAnsi" w:eastAsia="Times New Roman" w:hAnsiTheme="minorHAnsi"/>
          <w:lang w:eastAsia="en-GB"/>
        </w:rPr>
      </w:pPr>
    </w:p>
    <w:p w14:paraId="114143F9" w14:textId="77777777" w:rsidR="00337A26" w:rsidRPr="006B7984" w:rsidRDefault="007C17BA" w:rsidP="003F7DAE">
      <w:p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Wherever possible, t</w:t>
      </w:r>
      <w:r w:rsidR="0016214F" w:rsidRPr="006B7984">
        <w:rPr>
          <w:rFonts w:asciiTheme="minorHAnsi" w:eastAsia="Times New Roman" w:hAnsiTheme="minorHAnsi"/>
          <w:lang w:eastAsia="en-GB"/>
        </w:rPr>
        <w:t xml:space="preserve">he distribution of funds </w:t>
      </w:r>
      <w:r w:rsidR="0016214F">
        <w:rPr>
          <w:rFonts w:asciiTheme="minorHAnsi" w:eastAsia="Times New Roman" w:hAnsiTheme="minorHAnsi"/>
          <w:lang w:eastAsia="en-GB"/>
        </w:rPr>
        <w:t xml:space="preserve">should be </w:t>
      </w:r>
      <w:r w:rsidR="0016214F" w:rsidRPr="006B7984">
        <w:rPr>
          <w:rFonts w:asciiTheme="minorHAnsi" w:eastAsia="Times New Roman" w:hAnsiTheme="minorHAnsi"/>
          <w:lang w:eastAsia="en-GB"/>
        </w:rPr>
        <w:t xml:space="preserve">controlled by the </w:t>
      </w:r>
      <w:r w:rsidR="0016214F">
        <w:rPr>
          <w:rFonts w:asciiTheme="minorHAnsi" w:eastAsia="Times New Roman" w:hAnsiTheme="minorHAnsi"/>
          <w:lang w:eastAsia="en-GB"/>
        </w:rPr>
        <w:t xml:space="preserve">local </w:t>
      </w:r>
      <w:r>
        <w:rPr>
          <w:rFonts w:asciiTheme="minorHAnsi" w:eastAsia="Times New Roman" w:hAnsiTheme="minorHAnsi"/>
          <w:lang w:eastAsia="en-GB"/>
        </w:rPr>
        <w:t xml:space="preserve">welfare board or </w:t>
      </w:r>
      <w:r w:rsidR="0016214F" w:rsidRPr="006B7984">
        <w:rPr>
          <w:rFonts w:asciiTheme="minorHAnsi" w:eastAsia="Times New Roman" w:hAnsiTheme="minorHAnsi"/>
          <w:lang w:eastAsia="en-GB"/>
        </w:rPr>
        <w:t xml:space="preserve">Port Welfare Committee, which </w:t>
      </w:r>
      <w:r w:rsidR="007053EC">
        <w:rPr>
          <w:rFonts w:asciiTheme="minorHAnsi" w:eastAsia="Times New Roman" w:hAnsiTheme="minorHAnsi"/>
          <w:lang w:eastAsia="en-GB"/>
        </w:rPr>
        <w:t xml:space="preserve">normally </w:t>
      </w:r>
      <w:r w:rsidR="0016214F" w:rsidRPr="006B7984">
        <w:rPr>
          <w:rFonts w:asciiTheme="minorHAnsi" w:eastAsia="Times New Roman" w:hAnsiTheme="minorHAnsi"/>
          <w:lang w:eastAsia="en-GB"/>
        </w:rPr>
        <w:t xml:space="preserve">consists of port authority, ship owners, unions and voluntary organisations representatives. </w:t>
      </w:r>
      <w:r w:rsidR="008A1294" w:rsidRPr="006B7984">
        <w:rPr>
          <w:rFonts w:asciiTheme="minorHAnsi" w:eastAsia="Times New Roman" w:hAnsiTheme="minorHAnsi"/>
          <w:lang w:eastAsia="en-GB"/>
        </w:rPr>
        <w:t>To ensure monies raise</w:t>
      </w:r>
      <w:r w:rsidR="00854DA6" w:rsidRPr="006B7984">
        <w:rPr>
          <w:rFonts w:asciiTheme="minorHAnsi" w:eastAsia="Times New Roman" w:hAnsiTheme="minorHAnsi"/>
          <w:lang w:eastAsia="en-GB"/>
        </w:rPr>
        <w:t>d</w:t>
      </w:r>
      <w:r w:rsidR="008A1294" w:rsidRPr="006B7984">
        <w:rPr>
          <w:rFonts w:asciiTheme="minorHAnsi" w:eastAsia="Times New Roman" w:hAnsiTheme="minorHAnsi"/>
          <w:lang w:eastAsia="en-GB"/>
        </w:rPr>
        <w:t xml:space="preserve"> locally </w:t>
      </w:r>
      <w:r w:rsidR="00CB1889" w:rsidRPr="006B7984">
        <w:rPr>
          <w:rFonts w:asciiTheme="minorHAnsi" w:eastAsia="Times New Roman" w:hAnsiTheme="minorHAnsi"/>
          <w:lang w:eastAsia="en-GB"/>
        </w:rPr>
        <w:t xml:space="preserve">are </w:t>
      </w:r>
      <w:r w:rsidR="008A1294" w:rsidRPr="006B7984">
        <w:rPr>
          <w:rFonts w:asciiTheme="minorHAnsi" w:eastAsia="Times New Roman" w:hAnsiTheme="minorHAnsi"/>
          <w:lang w:eastAsia="en-GB"/>
        </w:rPr>
        <w:t>expended locally, t</w:t>
      </w:r>
      <w:r w:rsidR="00C738F0" w:rsidRPr="006B7984">
        <w:rPr>
          <w:rFonts w:asciiTheme="minorHAnsi" w:eastAsia="Times New Roman" w:hAnsiTheme="minorHAnsi"/>
          <w:lang w:eastAsia="en-GB"/>
        </w:rPr>
        <w:t xml:space="preserve">he </w:t>
      </w:r>
      <w:r w:rsidR="00D35CAF">
        <w:rPr>
          <w:rFonts w:asciiTheme="minorHAnsi" w:eastAsia="Times New Roman" w:hAnsiTheme="minorHAnsi"/>
          <w:lang w:eastAsia="en-GB"/>
        </w:rPr>
        <w:t xml:space="preserve">welfare board </w:t>
      </w:r>
      <w:r>
        <w:rPr>
          <w:rFonts w:asciiTheme="minorHAnsi" w:eastAsia="Times New Roman" w:hAnsiTheme="minorHAnsi"/>
          <w:lang w:eastAsia="en-GB"/>
        </w:rPr>
        <w:t xml:space="preserve">should </w:t>
      </w:r>
      <w:r w:rsidR="00337A26" w:rsidRPr="006B7984">
        <w:rPr>
          <w:rFonts w:asciiTheme="minorHAnsi" w:eastAsia="Times New Roman" w:hAnsiTheme="minorHAnsi"/>
          <w:lang w:eastAsia="en-GB"/>
        </w:rPr>
        <w:t xml:space="preserve">determine the sums to be allocated and distributed at their </w:t>
      </w:r>
      <w:r w:rsidR="00D35CAF">
        <w:rPr>
          <w:rFonts w:asciiTheme="minorHAnsi" w:eastAsia="Times New Roman" w:hAnsiTheme="minorHAnsi"/>
          <w:lang w:eastAsia="en-GB"/>
        </w:rPr>
        <w:t xml:space="preserve">regular </w:t>
      </w:r>
      <w:r w:rsidR="00337A26" w:rsidRPr="006B7984">
        <w:rPr>
          <w:rFonts w:asciiTheme="minorHAnsi" w:eastAsia="Times New Roman" w:hAnsiTheme="minorHAnsi"/>
          <w:lang w:eastAsia="en-GB"/>
        </w:rPr>
        <w:t>meetings</w:t>
      </w:r>
      <w:r w:rsidR="008A1294" w:rsidRPr="006B7984">
        <w:rPr>
          <w:rFonts w:asciiTheme="minorHAnsi" w:eastAsia="Times New Roman" w:hAnsiTheme="minorHAnsi"/>
          <w:lang w:eastAsia="en-GB"/>
        </w:rPr>
        <w:t xml:space="preserve">.  An Annual </w:t>
      </w:r>
      <w:r w:rsidR="00337A26" w:rsidRPr="006B7984">
        <w:rPr>
          <w:rFonts w:asciiTheme="minorHAnsi" w:eastAsia="Times New Roman" w:hAnsiTheme="minorHAnsi"/>
          <w:lang w:eastAsia="en-GB"/>
        </w:rPr>
        <w:t xml:space="preserve">Income &amp; Expenditure </w:t>
      </w:r>
      <w:r w:rsidR="008A1294" w:rsidRPr="006B7984">
        <w:rPr>
          <w:rFonts w:asciiTheme="minorHAnsi" w:eastAsia="Times New Roman" w:hAnsiTheme="minorHAnsi"/>
          <w:lang w:eastAsia="en-GB"/>
        </w:rPr>
        <w:t xml:space="preserve">report </w:t>
      </w:r>
      <w:r w:rsidR="00D35CAF">
        <w:rPr>
          <w:rFonts w:asciiTheme="minorHAnsi" w:eastAsia="Times New Roman" w:hAnsiTheme="minorHAnsi"/>
          <w:lang w:eastAsia="en-GB"/>
        </w:rPr>
        <w:t xml:space="preserve">should also </w:t>
      </w:r>
      <w:r w:rsidR="008A1294" w:rsidRPr="006B7984">
        <w:rPr>
          <w:rFonts w:asciiTheme="minorHAnsi" w:eastAsia="Times New Roman" w:hAnsiTheme="minorHAnsi"/>
          <w:lang w:eastAsia="en-GB"/>
        </w:rPr>
        <w:t xml:space="preserve">be tabled at the </w:t>
      </w:r>
      <w:r w:rsidR="007053EC">
        <w:rPr>
          <w:rFonts w:asciiTheme="minorHAnsi" w:eastAsia="Times New Roman" w:hAnsiTheme="minorHAnsi"/>
          <w:lang w:eastAsia="en-GB"/>
        </w:rPr>
        <w:t xml:space="preserve">welfare board </w:t>
      </w:r>
      <w:r w:rsidR="008A1294" w:rsidRPr="006B7984">
        <w:rPr>
          <w:rFonts w:asciiTheme="minorHAnsi" w:eastAsia="Times New Roman" w:hAnsiTheme="minorHAnsi"/>
          <w:lang w:eastAsia="en-GB"/>
        </w:rPr>
        <w:t>AGM.</w:t>
      </w:r>
      <w:r w:rsidR="00337A26" w:rsidRPr="006B7984">
        <w:rPr>
          <w:rFonts w:asciiTheme="minorHAnsi" w:eastAsia="Times New Roman" w:hAnsiTheme="minorHAnsi"/>
          <w:lang w:eastAsia="en-GB"/>
        </w:rPr>
        <w:t xml:space="preserve"> </w:t>
      </w:r>
    </w:p>
    <w:p w14:paraId="0FD96367" w14:textId="77777777" w:rsidR="00337A26" w:rsidRPr="006B7984" w:rsidRDefault="00337A26" w:rsidP="003F7DAE">
      <w:pPr>
        <w:jc w:val="both"/>
        <w:rPr>
          <w:rFonts w:asciiTheme="minorHAnsi" w:eastAsia="Times New Roman" w:hAnsiTheme="minorHAnsi"/>
          <w:lang w:eastAsia="en-GB"/>
        </w:rPr>
      </w:pPr>
    </w:p>
    <w:p w14:paraId="21C725E2" w14:textId="77777777" w:rsidR="008A1294" w:rsidRPr="006B7984" w:rsidRDefault="00CB1889" w:rsidP="003F7DAE">
      <w:pPr>
        <w:jc w:val="both"/>
        <w:rPr>
          <w:rFonts w:asciiTheme="minorHAnsi" w:eastAsia="Times New Roman" w:hAnsiTheme="minorHAnsi"/>
          <w:lang w:eastAsia="en-GB"/>
        </w:rPr>
      </w:pPr>
      <w:r w:rsidRPr="006B7984">
        <w:rPr>
          <w:rFonts w:asciiTheme="minorHAnsi" w:eastAsia="Times New Roman" w:hAnsiTheme="minorHAnsi"/>
          <w:lang w:eastAsia="en-GB"/>
        </w:rPr>
        <w:t>B</w:t>
      </w:r>
      <w:r w:rsidR="008A1294" w:rsidRPr="006B7984">
        <w:rPr>
          <w:rFonts w:asciiTheme="minorHAnsi" w:eastAsia="Times New Roman" w:hAnsiTheme="minorHAnsi"/>
          <w:lang w:eastAsia="en-GB"/>
        </w:rPr>
        <w:t xml:space="preserve">reakdowns of income and expenditure </w:t>
      </w:r>
      <w:r w:rsidR="00D35CAF">
        <w:rPr>
          <w:rFonts w:asciiTheme="minorHAnsi" w:eastAsia="Times New Roman" w:hAnsiTheme="minorHAnsi"/>
          <w:lang w:eastAsia="en-GB"/>
        </w:rPr>
        <w:t>sh</w:t>
      </w:r>
      <w:r w:rsidR="0016214F">
        <w:rPr>
          <w:rFonts w:asciiTheme="minorHAnsi" w:eastAsia="Times New Roman" w:hAnsiTheme="minorHAnsi"/>
          <w:lang w:eastAsia="en-GB"/>
        </w:rPr>
        <w:t xml:space="preserve">all </w:t>
      </w:r>
      <w:r w:rsidR="00D35CAF">
        <w:rPr>
          <w:rFonts w:asciiTheme="minorHAnsi" w:eastAsia="Times New Roman" w:hAnsiTheme="minorHAnsi"/>
          <w:lang w:eastAsia="en-GB"/>
        </w:rPr>
        <w:t xml:space="preserve">be </w:t>
      </w:r>
      <w:r w:rsidRPr="006B7984">
        <w:rPr>
          <w:rFonts w:asciiTheme="minorHAnsi" w:eastAsia="Times New Roman" w:hAnsiTheme="minorHAnsi"/>
          <w:lang w:eastAsia="en-GB"/>
        </w:rPr>
        <w:t xml:space="preserve">made available </w:t>
      </w:r>
      <w:r w:rsidR="008A1294" w:rsidRPr="006B7984">
        <w:rPr>
          <w:rFonts w:asciiTheme="minorHAnsi" w:eastAsia="Times New Roman" w:hAnsiTheme="minorHAnsi"/>
          <w:lang w:eastAsia="en-GB"/>
        </w:rPr>
        <w:t xml:space="preserve">to both the </w:t>
      </w:r>
      <w:r w:rsidR="00337A26" w:rsidRPr="006B7984">
        <w:rPr>
          <w:rFonts w:asciiTheme="minorHAnsi" w:eastAsia="Times New Roman" w:hAnsiTheme="minorHAnsi"/>
          <w:lang w:eastAsia="en-GB"/>
        </w:rPr>
        <w:t xml:space="preserve">Port </w:t>
      </w:r>
      <w:r w:rsidR="00D35CAF">
        <w:rPr>
          <w:rFonts w:asciiTheme="minorHAnsi" w:eastAsia="Times New Roman" w:hAnsiTheme="minorHAnsi"/>
          <w:lang w:eastAsia="en-GB"/>
        </w:rPr>
        <w:t xml:space="preserve">Authority </w:t>
      </w:r>
      <w:r w:rsidR="008A1294" w:rsidRPr="006B7984">
        <w:rPr>
          <w:rFonts w:asciiTheme="minorHAnsi" w:eastAsia="Times New Roman" w:hAnsiTheme="minorHAnsi"/>
          <w:lang w:eastAsia="en-GB"/>
        </w:rPr>
        <w:t xml:space="preserve">and </w:t>
      </w:r>
      <w:r w:rsidR="00D35CAF">
        <w:rPr>
          <w:rFonts w:asciiTheme="minorHAnsi" w:eastAsia="Times New Roman" w:hAnsiTheme="minorHAnsi"/>
          <w:lang w:eastAsia="en-GB"/>
        </w:rPr>
        <w:t xml:space="preserve">welfare board </w:t>
      </w:r>
      <w:r w:rsidR="008A1294" w:rsidRPr="006B7984">
        <w:rPr>
          <w:rFonts w:asciiTheme="minorHAnsi" w:eastAsia="Times New Roman" w:hAnsiTheme="minorHAnsi"/>
          <w:lang w:eastAsia="en-GB"/>
        </w:rPr>
        <w:t xml:space="preserve">on request.  </w:t>
      </w:r>
    </w:p>
    <w:p w14:paraId="7005232B" w14:textId="77777777" w:rsidR="00743462" w:rsidRDefault="00743462" w:rsidP="00743462">
      <w:pPr>
        <w:jc w:val="both"/>
        <w:rPr>
          <w:rFonts w:asciiTheme="minorHAnsi" w:eastAsia="Times New Roman" w:hAnsiTheme="minorHAnsi"/>
          <w:lang w:eastAsia="en-GB"/>
        </w:rPr>
      </w:pPr>
    </w:p>
    <w:p w14:paraId="1023212F" w14:textId="77777777" w:rsidR="0016214F" w:rsidRDefault="00743462" w:rsidP="00743462">
      <w:p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T</w:t>
      </w:r>
      <w:r w:rsidRPr="006B7984">
        <w:rPr>
          <w:rFonts w:asciiTheme="minorHAnsi" w:eastAsia="Times New Roman" w:hAnsiTheme="minorHAnsi"/>
          <w:lang w:eastAsia="en-GB"/>
        </w:rPr>
        <w:t xml:space="preserve">he </w:t>
      </w:r>
      <w:r>
        <w:rPr>
          <w:rFonts w:asciiTheme="minorHAnsi" w:eastAsia="Times New Roman" w:hAnsiTheme="minorHAnsi"/>
          <w:lang w:eastAsia="en-GB"/>
        </w:rPr>
        <w:t xml:space="preserve">Port </w:t>
      </w:r>
      <w:r w:rsidR="00D35CAF">
        <w:rPr>
          <w:rFonts w:asciiTheme="minorHAnsi" w:eastAsia="Times New Roman" w:hAnsiTheme="minorHAnsi"/>
          <w:lang w:eastAsia="en-GB"/>
        </w:rPr>
        <w:t xml:space="preserve">Authority </w:t>
      </w:r>
      <w:r>
        <w:rPr>
          <w:rFonts w:asciiTheme="minorHAnsi" w:eastAsia="Times New Roman" w:hAnsiTheme="minorHAnsi"/>
          <w:lang w:eastAsia="en-GB"/>
        </w:rPr>
        <w:t xml:space="preserve">reserves the right </w:t>
      </w:r>
      <w:r w:rsidRPr="006B7984">
        <w:rPr>
          <w:rFonts w:asciiTheme="minorHAnsi" w:eastAsia="Times New Roman" w:hAnsiTheme="minorHAnsi"/>
          <w:lang w:eastAsia="en-GB"/>
        </w:rPr>
        <w:t xml:space="preserve">to veto port levy decisions made by the </w:t>
      </w:r>
      <w:r w:rsidR="0016214F">
        <w:rPr>
          <w:rFonts w:asciiTheme="minorHAnsi" w:eastAsia="Times New Roman" w:hAnsiTheme="minorHAnsi"/>
          <w:lang w:eastAsia="en-GB"/>
        </w:rPr>
        <w:t>welfare board and</w:t>
      </w:r>
      <w:r w:rsidR="00434DA3">
        <w:rPr>
          <w:rFonts w:asciiTheme="minorHAnsi" w:eastAsia="Times New Roman" w:hAnsiTheme="minorHAnsi"/>
          <w:lang w:eastAsia="en-GB"/>
        </w:rPr>
        <w:t xml:space="preserve"> </w:t>
      </w:r>
      <w:r w:rsidR="0016214F">
        <w:rPr>
          <w:rFonts w:asciiTheme="minorHAnsi" w:eastAsia="Times New Roman" w:hAnsiTheme="minorHAnsi"/>
          <w:lang w:eastAsia="en-GB"/>
        </w:rPr>
        <w:t xml:space="preserve">has the right to withhold contributions to NGOs that </w:t>
      </w:r>
      <w:r w:rsidR="007C17BA">
        <w:rPr>
          <w:rFonts w:asciiTheme="minorHAnsi" w:eastAsia="Times New Roman" w:hAnsiTheme="minorHAnsi"/>
          <w:lang w:eastAsia="en-GB"/>
        </w:rPr>
        <w:t xml:space="preserve">may bring the port into disrepute. </w:t>
      </w:r>
    </w:p>
    <w:p w14:paraId="2EBCC597" w14:textId="77777777" w:rsidR="008A1294" w:rsidRPr="006B7984" w:rsidRDefault="008A1294" w:rsidP="003F7DAE">
      <w:pPr>
        <w:jc w:val="both"/>
        <w:rPr>
          <w:rFonts w:asciiTheme="minorHAnsi" w:eastAsia="Times New Roman" w:hAnsiTheme="minorHAnsi"/>
          <w:lang w:eastAsia="en-GB"/>
        </w:rPr>
      </w:pPr>
    </w:p>
    <w:p w14:paraId="1AF51091" w14:textId="77777777" w:rsidR="004534D0" w:rsidRPr="006B7984" w:rsidRDefault="004534D0" w:rsidP="003F7DAE">
      <w:pPr>
        <w:jc w:val="both"/>
        <w:rPr>
          <w:rFonts w:asciiTheme="minorHAnsi" w:eastAsia="Times New Roman" w:hAnsiTheme="minorHAnsi"/>
          <w:b/>
          <w:lang w:eastAsia="en-GB"/>
        </w:rPr>
      </w:pPr>
      <w:r w:rsidRPr="006B7984">
        <w:rPr>
          <w:rFonts w:asciiTheme="minorHAnsi" w:eastAsia="Times New Roman" w:hAnsiTheme="minorHAnsi"/>
          <w:b/>
          <w:lang w:eastAsia="en-GB"/>
        </w:rPr>
        <w:t>Port Levy Scheme Formula</w:t>
      </w:r>
    </w:p>
    <w:p w14:paraId="468954EE" w14:textId="77777777" w:rsidR="004534D0" w:rsidRPr="006B7984" w:rsidRDefault="004534D0" w:rsidP="003F7DAE">
      <w:pPr>
        <w:jc w:val="both"/>
        <w:rPr>
          <w:rFonts w:asciiTheme="minorHAnsi" w:eastAsia="Times New Roman" w:hAnsiTheme="minorHAnsi"/>
          <w:b/>
          <w:lang w:eastAsia="en-GB"/>
        </w:rPr>
      </w:pPr>
    </w:p>
    <w:p w14:paraId="1D8C0887" w14:textId="77777777" w:rsidR="00B12BB9" w:rsidRPr="006B7984" w:rsidRDefault="00EA3A79" w:rsidP="003F7DAE">
      <w:pPr>
        <w:jc w:val="both"/>
        <w:rPr>
          <w:rFonts w:asciiTheme="minorHAnsi" w:eastAsia="Times New Roman" w:hAnsiTheme="minorHAnsi"/>
          <w:lang w:eastAsia="en-GB"/>
        </w:rPr>
      </w:pPr>
      <w:r w:rsidRPr="006B7984">
        <w:rPr>
          <w:rFonts w:asciiTheme="minorHAnsi" w:eastAsia="Times New Roman" w:hAnsiTheme="minorHAnsi"/>
          <w:lang w:eastAsia="en-GB"/>
        </w:rPr>
        <w:t xml:space="preserve">First, the </w:t>
      </w:r>
      <w:r w:rsidR="0016214F">
        <w:rPr>
          <w:rFonts w:asciiTheme="minorHAnsi" w:eastAsia="Times New Roman" w:hAnsiTheme="minorHAnsi"/>
          <w:lang w:eastAsia="en-GB"/>
        </w:rPr>
        <w:t xml:space="preserve">welfare board should set aside a </w:t>
      </w:r>
      <w:r w:rsidRPr="006B7984">
        <w:rPr>
          <w:rFonts w:asciiTheme="minorHAnsi" w:eastAsia="Times New Roman" w:hAnsiTheme="minorHAnsi"/>
          <w:lang w:eastAsia="en-GB"/>
        </w:rPr>
        <w:t xml:space="preserve">small emergency fund, which all welfare organisations 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will </w:t>
      </w:r>
      <w:r w:rsidR="00B12BB9" w:rsidRPr="006B7984">
        <w:rPr>
          <w:rFonts w:asciiTheme="minorHAnsi" w:eastAsia="Times New Roman" w:hAnsiTheme="minorHAnsi"/>
          <w:lang w:eastAsia="en-GB"/>
        </w:rPr>
        <w:t xml:space="preserve">be able to 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access </w:t>
      </w:r>
      <w:r w:rsidR="00B12BB9" w:rsidRPr="006B7984">
        <w:rPr>
          <w:rFonts w:asciiTheme="minorHAnsi" w:eastAsia="Times New Roman" w:hAnsiTheme="minorHAnsi"/>
          <w:lang w:eastAsia="en-GB"/>
        </w:rPr>
        <w:t>a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t short notice.  Thereafter the total sum </w:t>
      </w:r>
      <w:r w:rsidR="00B12BB9" w:rsidRPr="006B7984">
        <w:rPr>
          <w:rFonts w:asciiTheme="minorHAnsi" w:eastAsia="Times New Roman" w:hAnsiTheme="minorHAnsi"/>
          <w:lang w:eastAsia="en-GB"/>
        </w:rPr>
        <w:t>t</w:t>
      </w:r>
      <w:r w:rsidR="006D2861">
        <w:rPr>
          <w:rFonts w:asciiTheme="minorHAnsi" w:eastAsia="Times New Roman" w:hAnsiTheme="minorHAnsi"/>
          <w:lang w:eastAsia="en-GB"/>
        </w:rPr>
        <w:t xml:space="preserve">hat has accrued </w:t>
      </w:r>
      <w:r w:rsidR="00434DA3">
        <w:rPr>
          <w:rFonts w:asciiTheme="minorHAnsi" w:eastAsia="Times New Roman" w:hAnsiTheme="minorHAnsi"/>
          <w:lang w:eastAsia="en-GB"/>
        </w:rPr>
        <w:t xml:space="preserve">over the first 6 months </w:t>
      </w:r>
      <w:r w:rsidR="006D2861">
        <w:rPr>
          <w:rFonts w:asciiTheme="minorHAnsi" w:eastAsia="Times New Roman" w:hAnsiTheme="minorHAnsi"/>
          <w:lang w:eastAsia="en-GB"/>
        </w:rPr>
        <w:t xml:space="preserve">will </w:t>
      </w:r>
      <w:r w:rsidR="00B12BB9" w:rsidRPr="006B7984">
        <w:rPr>
          <w:rFonts w:asciiTheme="minorHAnsi" w:eastAsia="Times New Roman" w:hAnsiTheme="minorHAnsi"/>
          <w:lang w:eastAsia="en-GB"/>
        </w:rPr>
        <w:t xml:space="preserve">be </w:t>
      </w:r>
      <w:r w:rsidR="00BE5B19">
        <w:rPr>
          <w:rFonts w:asciiTheme="minorHAnsi" w:eastAsia="Times New Roman" w:hAnsiTheme="minorHAnsi"/>
          <w:lang w:eastAsia="en-GB"/>
        </w:rPr>
        <w:t>split</w:t>
      </w:r>
      <w:r w:rsidR="00D7534B">
        <w:rPr>
          <w:rFonts w:asciiTheme="minorHAnsi" w:eastAsia="Times New Roman" w:hAnsiTheme="minorHAnsi"/>
          <w:lang w:eastAsia="en-GB"/>
        </w:rPr>
        <w:t>:</w:t>
      </w:r>
      <w:r w:rsidR="00BE5B19">
        <w:rPr>
          <w:rFonts w:asciiTheme="minorHAnsi" w:eastAsia="Times New Roman" w:hAnsiTheme="minorHAnsi"/>
          <w:lang w:eastAsia="en-GB"/>
        </w:rPr>
        <w:t xml:space="preserve"> 20% for capital </w:t>
      </w:r>
      <w:r w:rsidR="001D4843" w:rsidRPr="006B7984">
        <w:rPr>
          <w:rFonts w:asciiTheme="minorHAnsi" w:eastAsia="Times New Roman" w:hAnsiTheme="minorHAnsi"/>
          <w:lang w:eastAsia="en-GB"/>
        </w:rPr>
        <w:t>projects</w:t>
      </w:r>
      <w:r w:rsidR="00EF740A">
        <w:rPr>
          <w:rFonts w:asciiTheme="minorHAnsi" w:eastAsia="Times New Roman" w:hAnsiTheme="minorHAnsi"/>
          <w:lang w:eastAsia="en-GB"/>
        </w:rPr>
        <w:t>,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 </w:t>
      </w:r>
      <w:r w:rsidR="00354E48" w:rsidRPr="006B7984">
        <w:rPr>
          <w:rFonts w:asciiTheme="minorHAnsi" w:eastAsia="Times New Roman" w:hAnsiTheme="minorHAnsi"/>
          <w:lang w:eastAsia="en-GB"/>
        </w:rPr>
        <w:t xml:space="preserve">aimed at </w:t>
      </w:r>
      <w:r w:rsidR="001D4843" w:rsidRPr="006B7984">
        <w:rPr>
          <w:rFonts w:asciiTheme="minorHAnsi" w:eastAsia="Times New Roman" w:hAnsiTheme="minorHAnsi"/>
          <w:lang w:eastAsia="en-GB"/>
        </w:rPr>
        <w:t>improv</w:t>
      </w:r>
      <w:r w:rsidR="00354E48" w:rsidRPr="006B7984">
        <w:rPr>
          <w:rFonts w:asciiTheme="minorHAnsi" w:eastAsia="Times New Roman" w:hAnsiTheme="minorHAnsi"/>
          <w:lang w:eastAsia="en-GB"/>
        </w:rPr>
        <w:t>ing existing seafarers</w:t>
      </w:r>
      <w:r w:rsidR="001D4843" w:rsidRPr="006B7984">
        <w:rPr>
          <w:rFonts w:asciiTheme="minorHAnsi" w:eastAsia="Times New Roman" w:hAnsiTheme="minorHAnsi"/>
          <w:lang w:eastAsia="en-GB"/>
        </w:rPr>
        <w:t>’ welfare</w:t>
      </w:r>
      <w:r w:rsidR="00354E48" w:rsidRPr="006B7984">
        <w:rPr>
          <w:rFonts w:asciiTheme="minorHAnsi" w:eastAsia="Times New Roman" w:hAnsiTheme="minorHAnsi"/>
          <w:lang w:eastAsia="en-GB"/>
        </w:rPr>
        <w:t xml:space="preserve"> services</w:t>
      </w:r>
      <w:r w:rsidR="00EF740A">
        <w:rPr>
          <w:rFonts w:asciiTheme="minorHAnsi" w:eastAsia="Times New Roman" w:hAnsiTheme="minorHAnsi"/>
          <w:lang w:eastAsia="en-GB"/>
        </w:rPr>
        <w:t>,</w:t>
      </w:r>
      <w:r w:rsidR="00BE5B19">
        <w:rPr>
          <w:rFonts w:asciiTheme="minorHAnsi" w:eastAsia="Times New Roman" w:hAnsiTheme="minorHAnsi"/>
          <w:lang w:eastAsia="en-GB"/>
        </w:rPr>
        <w:t xml:space="preserve"> and 80% </w:t>
      </w:r>
      <w:r w:rsidR="00D7534B">
        <w:rPr>
          <w:rFonts w:asciiTheme="minorHAnsi" w:eastAsia="Times New Roman" w:hAnsiTheme="minorHAnsi"/>
          <w:lang w:eastAsia="en-GB"/>
        </w:rPr>
        <w:t xml:space="preserve">for </w:t>
      </w:r>
      <w:r w:rsidR="00BE5B19">
        <w:rPr>
          <w:rFonts w:asciiTheme="minorHAnsi" w:eastAsia="Times New Roman" w:hAnsiTheme="minorHAnsi"/>
          <w:lang w:eastAsia="en-GB"/>
        </w:rPr>
        <w:t xml:space="preserve">service delivery support costs.  </w:t>
      </w:r>
      <w:r w:rsidR="006D2861">
        <w:rPr>
          <w:rFonts w:asciiTheme="minorHAnsi" w:eastAsia="Times New Roman" w:hAnsiTheme="minorHAnsi"/>
          <w:lang w:eastAsia="en-GB"/>
        </w:rPr>
        <w:t xml:space="preserve">Requests for capital grants </w:t>
      </w:r>
      <w:r w:rsidR="007C17BA">
        <w:rPr>
          <w:rFonts w:asciiTheme="minorHAnsi" w:eastAsia="Times New Roman" w:hAnsiTheme="minorHAnsi"/>
          <w:lang w:eastAsia="en-GB"/>
        </w:rPr>
        <w:t xml:space="preserve">should be submitted </w:t>
      </w:r>
      <w:r w:rsidR="0077018E">
        <w:rPr>
          <w:rFonts w:asciiTheme="minorHAnsi" w:eastAsia="Times New Roman" w:hAnsiTheme="minorHAnsi"/>
          <w:lang w:eastAsia="en-GB"/>
        </w:rPr>
        <w:t xml:space="preserve">on the Port Levy Scheme Grant Application Form (see </w:t>
      </w:r>
      <w:r w:rsidR="00434DA3">
        <w:rPr>
          <w:rFonts w:asciiTheme="minorHAnsi" w:eastAsia="Times New Roman" w:hAnsiTheme="minorHAnsi"/>
          <w:lang w:eastAsia="en-GB"/>
        </w:rPr>
        <w:t>below</w:t>
      </w:r>
      <w:r w:rsidR="0077018E">
        <w:rPr>
          <w:rFonts w:asciiTheme="minorHAnsi" w:eastAsia="Times New Roman" w:hAnsiTheme="minorHAnsi"/>
          <w:lang w:eastAsia="en-GB"/>
        </w:rPr>
        <w:t xml:space="preserve">) </w:t>
      </w:r>
      <w:r w:rsidR="007C17BA">
        <w:rPr>
          <w:rFonts w:asciiTheme="minorHAnsi" w:eastAsia="Times New Roman" w:hAnsiTheme="minorHAnsi"/>
          <w:lang w:eastAsia="en-GB"/>
        </w:rPr>
        <w:t xml:space="preserve">to the </w:t>
      </w:r>
      <w:r w:rsidR="006D2861">
        <w:rPr>
          <w:rFonts w:asciiTheme="minorHAnsi" w:eastAsia="Times New Roman" w:hAnsiTheme="minorHAnsi"/>
          <w:lang w:eastAsia="en-GB"/>
        </w:rPr>
        <w:t xml:space="preserve">Port Welfare </w:t>
      </w:r>
      <w:r w:rsidR="0016214F">
        <w:rPr>
          <w:rFonts w:asciiTheme="minorHAnsi" w:eastAsia="Times New Roman" w:hAnsiTheme="minorHAnsi"/>
          <w:lang w:eastAsia="en-GB"/>
        </w:rPr>
        <w:t xml:space="preserve">Committee </w:t>
      </w:r>
      <w:r w:rsidR="006D2861">
        <w:rPr>
          <w:rFonts w:asciiTheme="minorHAnsi" w:eastAsia="Times New Roman" w:hAnsiTheme="minorHAnsi"/>
          <w:lang w:eastAsia="en-GB"/>
        </w:rPr>
        <w:t>Manager</w:t>
      </w:r>
      <w:r w:rsidR="007C17BA">
        <w:rPr>
          <w:rFonts w:asciiTheme="minorHAnsi" w:eastAsia="Times New Roman" w:hAnsiTheme="minorHAnsi"/>
          <w:lang w:eastAsia="en-GB"/>
        </w:rPr>
        <w:t>/Administrator</w:t>
      </w:r>
      <w:r w:rsidR="00434DA3">
        <w:rPr>
          <w:rFonts w:asciiTheme="minorHAnsi" w:eastAsia="Times New Roman" w:hAnsiTheme="minorHAnsi"/>
          <w:lang w:eastAsia="en-GB"/>
        </w:rPr>
        <w:t xml:space="preserve"> or</w:t>
      </w:r>
      <w:r w:rsidR="007C17BA">
        <w:rPr>
          <w:rFonts w:asciiTheme="minorHAnsi" w:eastAsia="Times New Roman" w:hAnsiTheme="minorHAnsi"/>
          <w:lang w:eastAsia="en-GB"/>
        </w:rPr>
        <w:t xml:space="preserve">, if no </w:t>
      </w:r>
      <w:r w:rsidR="00D7534B">
        <w:rPr>
          <w:rFonts w:asciiTheme="minorHAnsi" w:eastAsia="Times New Roman" w:hAnsiTheme="minorHAnsi"/>
          <w:lang w:eastAsia="en-GB"/>
        </w:rPr>
        <w:t xml:space="preserve">there is no </w:t>
      </w:r>
      <w:r w:rsidR="007C17BA">
        <w:rPr>
          <w:rFonts w:asciiTheme="minorHAnsi" w:eastAsia="Times New Roman" w:hAnsiTheme="minorHAnsi"/>
          <w:lang w:eastAsia="en-GB"/>
        </w:rPr>
        <w:t>welfare board</w:t>
      </w:r>
      <w:r w:rsidR="00D7534B">
        <w:rPr>
          <w:rFonts w:asciiTheme="minorHAnsi" w:eastAsia="Times New Roman" w:hAnsiTheme="minorHAnsi"/>
          <w:lang w:eastAsia="en-GB"/>
        </w:rPr>
        <w:t>, to</w:t>
      </w:r>
      <w:r w:rsidR="00434DA3">
        <w:rPr>
          <w:rFonts w:asciiTheme="minorHAnsi" w:eastAsia="Times New Roman" w:hAnsiTheme="minorHAnsi"/>
          <w:lang w:eastAsia="en-GB"/>
        </w:rPr>
        <w:t xml:space="preserve"> </w:t>
      </w:r>
      <w:r w:rsidR="007C17BA">
        <w:rPr>
          <w:rFonts w:asciiTheme="minorHAnsi" w:eastAsia="Times New Roman" w:hAnsiTheme="minorHAnsi"/>
          <w:lang w:eastAsia="en-GB"/>
        </w:rPr>
        <w:t xml:space="preserve">the Port </w:t>
      </w:r>
      <w:r w:rsidR="00DF1843">
        <w:rPr>
          <w:rFonts w:asciiTheme="minorHAnsi" w:eastAsia="Times New Roman" w:hAnsiTheme="minorHAnsi"/>
          <w:lang w:eastAsia="en-GB"/>
        </w:rPr>
        <w:t>Authority, in</w:t>
      </w:r>
      <w:r w:rsidR="0077018E">
        <w:rPr>
          <w:rFonts w:asciiTheme="minorHAnsi" w:eastAsia="Times New Roman" w:hAnsiTheme="minorHAnsi"/>
          <w:lang w:eastAsia="en-GB"/>
        </w:rPr>
        <w:t xml:space="preserve"> readiness for discussion at the first available </w:t>
      </w:r>
      <w:r w:rsidR="0016214F">
        <w:rPr>
          <w:rFonts w:asciiTheme="minorHAnsi" w:eastAsia="Times New Roman" w:hAnsiTheme="minorHAnsi"/>
          <w:lang w:eastAsia="en-GB"/>
        </w:rPr>
        <w:t xml:space="preserve">welfare </w:t>
      </w:r>
      <w:r w:rsidR="0077018E">
        <w:rPr>
          <w:rFonts w:asciiTheme="minorHAnsi" w:eastAsia="Times New Roman" w:hAnsiTheme="minorHAnsi"/>
          <w:lang w:eastAsia="en-GB"/>
        </w:rPr>
        <w:t xml:space="preserve">meeting.   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The </w:t>
      </w:r>
      <w:r w:rsidR="0077018E">
        <w:rPr>
          <w:rFonts w:asciiTheme="minorHAnsi" w:eastAsia="Times New Roman" w:hAnsiTheme="minorHAnsi"/>
          <w:lang w:eastAsia="en-GB"/>
        </w:rPr>
        <w:t xml:space="preserve">remaining </w:t>
      </w:r>
      <w:r w:rsidR="001D4843" w:rsidRPr="006B7984">
        <w:rPr>
          <w:rFonts w:asciiTheme="minorHAnsi" w:eastAsia="Times New Roman" w:hAnsiTheme="minorHAnsi"/>
          <w:lang w:eastAsia="en-GB"/>
        </w:rPr>
        <w:t>80%</w:t>
      </w:r>
      <w:r w:rsidR="0077018E">
        <w:rPr>
          <w:rFonts w:asciiTheme="minorHAnsi" w:eastAsia="Times New Roman" w:hAnsiTheme="minorHAnsi"/>
          <w:lang w:eastAsia="en-GB"/>
        </w:rPr>
        <w:t xml:space="preserve">, </w:t>
      </w:r>
      <w:r w:rsidR="00354E48" w:rsidRPr="006B7984">
        <w:rPr>
          <w:rFonts w:asciiTheme="minorHAnsi" w:eastAsia="Times New Roman" w:hAnsiTheme="minorHAnsi"/>
          <w:lang w:eastAsia="en-GB"/>
        </w:rPr>
        <w:t>or 100%</w:t>
      </w:r>
      <w:r w:rsidR="00DF1843">
        <w:rPr>
          <w:rFonts w:asciiTheme="minorHAnsi" w:eastAsia="Times New Roman" w:hAnsiTheme="minorHAnsi"/>
          <w:lang w:eastAsia="en-GB"/>
        </w:rPr>
        <w:t xml:space="preserve"> of the funds raised</w:t>
      </w:r>
      <w:r w:rsidR="0077018E">
        <w:rPr>
          <w:rFonts w:asciiTheme="minorHAnsi" w:eastAsia="Times New Roman" w:hAnsiTheme="minorHAnsi"/>
          <w:lang w:eastAsia="en-GB"/>
        </w:rPr>
        <w:t xml:space="preserve"> 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will be allocated via </w:t>
      </w:r>
      <w:r w:rsidR="00434DA3">
        <w:rPr>
          <w:rFonts w:asciiTheme="minorHAnsi" w:eastAsia="Times New Roman" w:hAnsiTheme="minorHAnsi"/>
          <w:lang w:eastAsia="en-GB"/>
        </w:rPr>
        <w:t xml:space="preserve">the 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formula </w:t>
      </w:r>
      <w:r w:rsidR="0077018E">
        <w:rPr>
          <w:rFonts w:asciiTheme="minorHAnsi" w:eastAsia="Times New Roman" w:hAnsiTheme="minorHAnsi"/>
          <w:lang w:eastAsia="en-GB"/>
        </w:rPr>
        <w:t>detailed below</w:t>
      </w:r>
      <w:r w:rsidR="0016214F">
        <w:rPr>
          <w:rFonts w:asciiTheme="minorHAnsi" w:eastAsia="Times New Roman" w:hAnsiTheme="minorHAnsi"/>
          <w:lang w:eastAsia="en-GB"/>
        </w:rPr>
        <w:t xml:space="preserve">.  This formula </w:t>
      </w:r>
      <w:r w:rsidR="001D4843" w:rsidRPr="006B7984">
        <w:rPr>
          <w:rFonts w:asciiTheme="minorHAnsi" w:eastAsia="Times New Roman" w:hAnsiTheme="minorHAnsi"/>
          <w:lang w:eastAsia="en-GB"/>
        </w:rPr>
        <w:t>reward</w:t>
      </w:r>
      <w:r w:rsidR="00354E48" w:rsidRPr="006B7984">
        <w:rPr>
          <w:rFonts w:asciiTheme="minorHAnsi" w:eastAsia="Times New Roman" w:hAnsiTheme="minorHAnsi"/>
          <w:lang w:eastAsia="en-GB"/>
        </w:rPr>
        <w:t>s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 organisations </w:t>
      </w:r>
      <w:r w:rsidR="00BE5B19">
        <w:rPr>
          <w:rFonts w:asciiTheme="minorHAnsi" w:eastAsia="Times New Roman" w:hAnsiTheme="minorHAnsi"/>
          <w:lang w:eastAsia="en-GB"/>
        </w:rPr>
        <w:t xml:space="preserve">that have </w:t>
      </w:r>
      <w:r w:rsidR="001D4843" w:rsidRPr="006B7984">
        <w:rPr>
          <w:rFonts w:asciiTheme="minorHAnsi" w:eastAsia="Times New Roman" w:hAnsiTheme="minorHAnsi"/>
          <w:lang w:eastAsia="en-GB"/>
        </w:rPr>
        <w:t>deliver</w:t>
      </w:r>
      <w:r w:rsidR="00BE5B19">
        <w:rPr>
          <w:rFonts w:asciiTheme="minorHAnsi" w:eastAsia="Times New Roman" w:hAnsiTheme="minorHAnsi"/>
          <w:lang w:eastAsia="en-GB"/>
        </w:rPr>
        <w:t>ed</w:t>
      </w:r>
      <w:r w:rsidR="00B12BB9" w:rsidRPr="006B7984">
        <w:rPr>
          <w:rFonts w:asciiTheme="minorHAnsi" w:eastAsia="Times New Roman" w:hAnsiTheme="minorHAnsi"/>
          <w:lang w:eastAsia="en-GB"/>
        </w:rPr>
        <w:t xml:space="preserve"> </w:t>
      </w:r>
      <w:r w:rsidR="00354E48" w:rsidRPr="006B7984">
        <w:rPr>
          <w:rFonts w:asciiTheme="minorHAnsi" w:eastAsia="Times New Roman" w:hAnsiTheme="minorHAnsi"/>
          <w:lang w:eastAsia="en-GB"/>
        </w:rPr>
        <w:t>port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 welfare services</w:t>
      </w:r>
      <w:r w:rsidR="0077018E">
        <w:rPr>
          <w:rFonts w:asciiTheme="minorHAnsi" w:eastAsia="Times New Roman" w:hAnsiTheme="minorHAnsi"/>
          <w:lang w:eastAsia="en-GB"/>
        </w:rPr>
        <w:t xml:space="preserve"> </w:t>
      </w:r>
      <w:r w:rsidR="00434DA3">
        <w:rPr>
          <w:rFonts w:asciiTheme="minorHAnsi" w:eastAsia="Times New Roman" w:hAnsiTheme="minorHAnsi"/>
          <w:lang w:eastAsia="en-GB"/>
        </w:rPr>
        <w:t xml:space="preserve">over a period of 6 months or </w:t>
      </w:r>
      <w:r w:rsidR="0077018E">
        <w:rPr>
          <w:rFonts w:asciiTheme="minorHAnsi" w:eastAsia="Times New Roman" w:hAnsiTheme="minorHAnsi"/>
          <w:lang w:eastAsia="en-GB"/>
        </w:rPr>
        <w:t xml:space="preserve">in between </w:t>
      </w:r>
      <w:r w:rsidR="0016214F">
        <w:rPr>
          <w:rFonts w:asciiTheme="minorHAnsi" w:eastAsia="Times New Roman" w:hAnsiTheme="minorHAnsi"/>
          <w:lang w:eastAsia="en-GB"/>
        </w:rPr>
        <w:t xml:space="preserve">welfare board </w:t>
      </w:r>
      <w:r w:rsidR="0077018E">
        <w:rPr>
          <w:rFonts w:asciiTheme="minorHAnsi" w:eastAsia="Times New Roman" w:hAnsiTheme="minorHAnsi"/>
          <w:lang w:eastAsia="en-GB"/>
        </w:rPr>
        <w:t>meetings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.  </w:t>
      </w:r>
    </w:p>
    <w:p w14:paraId="202FE342" w14:textId="77777777" w:rsidR="00B12BB9" w:rsidRPr="006B7984" w:rsidRDefault="00B12BB9" w:rsidP="003F7DAE">
      <w:pPr>
        <w:jc w:val="both"/>
        <w:rPr>
          <w:rFonts w:asciiTheme="minorHAnsi" w:eastAsia="Times New Roman" w:hAnsiTheme="minorHAnsi"/>
          <w:lang w:eastAsia="en-GB"/>
        </w:rPr>
      </w:pPr>
    </w:p>
    <w:p w14:paraId="682E2800" w14:textId="77777777" w:rsidR="00354E48" w:rsidRPr="006B7984" w:rsidRDefault="00EA3A79" w:rsidP="003F7DAE">
      <w:pPr>
        <w:jc w:val="both"/>
        <w:rPr>
          <w:rFonts w:asciiTheme="minorHAnsi" w:eastAsia="Times New Roman" w:hAnsiTheme="minorHAnsi"/>
          <w:lang w:eastAsia="en-GB"/>
        </w:rPr>
      </w:pPr>
      <w:r w:rsidRPr="006B7984">
        <w:rPr>
          <w:rFonts w:asciiTheme="minorHAnsi" w:eastAsia="Times New Roman" w:hAnsiTheme="minorHAnsi"/>
          <w:lang w:eastAsia="en-GB"/>
        </w:rPr>
        <w:t xml:space="preserve">Port welfare services are </w:t>
      </w:r>
      <w:r w:rsidR="0016214F">
        <w:rPr>
          <w:rFonts w:asciiTheme="minorHAnsi" w:eastAsia="Times New Roman" w:hAnsiTheme="minorHAnsi"/>
          <w:lang w:eastAsia="en-GB"/>
        </w:rPr>
        <w:t xml:space="preserve">delivered by people to support </w:t>
      </w:r>
      <w:proofErr w:type="gramStart"/>
      <w:r w:rsidR="0016214F">
        <w:rPr>
          <w:rFonts w:asciiTheme="minorHAnsi" w:eastAsia="Times New Roman" w:hAnsiTheme="minorHAnsi"/>
          <w:lang w:eastAsia="en-GB"/>
        </w:rPr>
        <w:t>seafarers</w:t>
      </w:r>
      <w:r w:rsidRPr="006B7984">
        <w:rPr>
          <w:rFonts w:asciiTheme="minorHAnsi" w:eastAsia="Times New Roman" w:hAnsiTheme="minorHAnsi"/>
          <w:lang w:eastAsia="en-GB"/>
        </w:rPr>
        <w:t>,</w:t>
      </w:r>
      <w:proofErr w:type="gramEnd"/>
      <w:r w:rsidRPr="006B7984">
        <w:rPr>
          <w:rFonts w:asciiTheme="minorHAnsi" w:eastAsia="Times New Roman" w:hAnsiTheme="minorHAnsi"/>
          <w:lang w:eastAsia="en-GB"/>
        </w:rPr>
        <w:t xml:space="preserve"> therefore, </w:t>
      </w:r>
      <w:r w:rsidR="0077018E">
        <w:rPr>
          <w:rFonts w:asciiTheme="minorHAnsi" w:eastAsia="Times New Roman" w:hAnsiTheme="minorHAnsi"/>
          <w:lang w:eastAsia="en-GB"/>
        </w:rPr>
        <w:t xml:space="preserve">it is </w:t>
      </w:r>
      <w:r w:rsidRPr="006B7984">
        <w:rPr>
          <w:rFonts w:asciiTheme="minorHAnsi" w:eastAsia="Times New Roman" w:hAnsiTheme="minorHAnsi"/>
          <w:lang w:eastAsia="en-GB"/>
        </w:rPr>
        <w:t xml:space="preserve">people not facilities </w:t>
      </w:r>
      <w:r w:rsidR="0016214F">
        <w:rPr>
          <w:rFonts w:asciiTheme="minorHAnsi" w:eastAsia="Times New Roman" w:hAnsiTheme="minorHAnsi"/>
          <w:lang w:eastAsia="en-GB"/>
        </w:rPr>
        <w:t xml:space="preserve">that lie </w:t>
      </w:r>
      <w:r w:rsidRPr="006B7984">
        <w:rPr>
          <w:rFonts w:asciiTheme="minorHAnsi" w:eastAsia="Times New Roman" w:hAnsiTheme="minorHAnsi"/>
          <w:lang w:eastAsia="en-GB"/>
        </w:rPr>
        <w:t xml:space="preserve">at the heart of the </w:t>
      </w:r>
      <w:r w:rsidR="0077018E">
        <w:rPr>
          <w:rFonts w:asciiTheme="minorHAnsi" w:eastAsia="Times New Roman" w:hAnsiTheme="minorHAnsi"/>
          <w:lang w:eastAsia="en-GB"/>
        </w:rPr>
        <w:t xml:space="preserve">distribution </w:t>
      </w:r>
      <w:r w:rsidRPr="006B7984">
        <w:rPr>
          <w:rFonts w:asciiTheme="minorHAnsi" w:eastAsia="Times New Roman" w:hAnsiTheme="minorHAnsi"/>
          <w:lang w:eastAsia="en-GB"/>
        </w:rPr>
        <w:t>formula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.  Although </w:t>
      </w:r>
      <w:r w:rsidR="00B12BB9" w:rsidRPr="006B7984">
        <w:rPr>
          <w:rFonts w:asciiTheme="minorHAnsi" w:eastAsia="Times New Roman" w:hAnsiTheme="minorHAnsi"/>
          <w:lang w:eastAsia="en-GB"/>
        </w:rPr>
        <w:t xml:space="preserve">all 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welfare workers </w:t>
      </w:r>
      <w:r w:rsidR="001B5E3E">
        <w:rPr>
          <w:rFonts w:asciiTheme="minorHAnsi" w:eastAsia="Times New Roman" w:hAnsiTheme="minorHAnsi"/>
          <w:lang w:eastAsia="en-GB"/>
        </w:rPr>
        <w:t xml:space="preserve">have an </w:t>
      </w:r>
      <w:r w:rsidR="00354E48" w:rsidRPr="006B7984">
        <w:rPr>
          <w:rFonts w:asciiTheme="minorHAnsi" w:eastAsia="Times New Roman" w:hAnsiTheme="minorHAnsi"/>
          <w:lang w:eastAsia="en-GB"/>
        </w:rPr>
        <w:t xml:space="preserve">important 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contribution to </w:t>
      </w:r>
      <w:r w:rsidR="001B5E3E">
        <w:rPr>
          <w:rFonts w:asciiTheme="minorHAnsi" w:eastAsia="Times New Roman" w:hAnsiTheme="minorHAnsi"/>
          <w:lang w:eastAsia="en-GB"/>
        </w:rPr>
        <w:t xml:space="preserve">make to </w:t>
      </w:r>
      <w:r w:rsidR="001D4843" w:rsidRPr="006B7984">
        <w:rPr>
          <w:rFonts w:asciiTheme="minorHAnsi" w:eastAsia="Times New Roman" w:hAnsiTheme="minorHAnsi"/>
          <w:lang w:eastAsia="en-GB"/>
        </w:rPr>
        <w:t xml:space="preserve">seafarers’ welfare, financially, </w:t>
      </w:r>
      <w:r w:rsidR="00354E48" w:rsidRPr="006B7984">
        <w:rPr>
          <w:rFonts w:asciiTheme="minorHAnsi" w:eastAsia="Times New Roman" w:hAnsiTheme="minorHAnsi"/>
          <w:lang w:eastAsia="en-GB"/>
        </w:rPr>
        <w:t xml:space="preserve">full time </w:t>
      </w:r>
      <w:r w:rsidR="004638E4">
        <w:rPr>
          <w:rFonts w:asciiTheme="minorHAnsi" w:eastAsia="Times New Roman" w:hAnsiTheme="minorHAnsi"/>
          <w:lang w:eastAsia="en-GB"/>
        </w:rPr>
        <w:t xml:space="preserve">(paid) </w:t>
      </w:r>
      <w:r w:rsidRPr="006B7984">
        <w:rPr>
          <w:rFonts w:asciiTheme="minorHAnsi" w:eastAsia="Times New Roman" w:hAnsiTheme="minorHAnsi"/>
          <w:lang w:eastAsia="en-GB"/>
        </w:rPr>
        <w:t xml:space="preserve">employees </w:t>
      </w:r>
      <w:r w:rsidR="004638E4">
        <w:rPr>
          <w:rFonts w:asciiTheme="minorHAnsi" w:eastAsia="Times New Roman" w:hAnsiTheme="minorHAnsi"/>
          <w:lang w:eastAsia="en-GB"/>
        </w:rPr>
        <w:t xml:space="preserve">such as </w:t>
      </w:r>
      <w:r w:rsidRPr="006B7984">
        <w:rPr>
          <w:rFonts w:asciiTheme="minorHAnsi" w:eastAsia="Times New Roman" w:hAnsiTheme="minorHAnsi"/>
          <w:lang w:eastAsia="en-GB"/>
        </w:rPr>
        <w:t xml:space="preserve">Port Chaplains and Centre Managers are the </w:t>
      </w:r>
      <w:r w:rsidR="00DF1843" w:rsidRPr="006B7984">
        <w:rPr>
          <w:rFonts w:asciiTheme="minorHAnsi" w:eastAsia="Times New Roman" w:hAnsiTheme="minorHAnsi"/>
          <w:lang w:eastAsia="en-GB"/>
        </w:rPr>
        <w:t>costliest</w:t>
      </w:r>
      <w:r w:rsidR="00434DA3">
        <w:rPr>
          <w:rFonts w:asciiTheme="minorHAnsi" w:eastAsia="Times New Roman" w:hAnsiTheme="minorHAnsi"/>
          <w:lang w:eastAsia="en-GB"/>
        </w:rPr>
        <w:t xml:space="preserve">.  These are </w:t>
      </w:r>
      <w:r w:rsidRPr="006B7984">
        <w:rPr>
          <w:rFonts w:asciiTheme="minorHAnsi" w:eastAsia="Times New Roman" w:hAnsiTheme="minorHAnsi"/>
          <w:lang w:eastAsia="en-GB"/>
        </w:rPr>
        <w:t xml:space="preserve">followed by part time </w:t>
      </w:r>
      <w:r w:rsidR="004638E4">
        <w:rPr>
          <w:rFonts w:asciiTheme="minorHAnsi" w:eastAsia="Times New Roman" w:hAnsiTheme="minorHAnsi"/>
          <w:lang w:eastAsia="en-GB"/>
        </w:rPr>
        <w:t>(</w:t>
      </w:r>
      <w:r w:rsidRPr="006B7984">
        <w:rPr>
          <w:rFonts w:asciiTheme="minorHAnsi" w:eastAsia="Times New Roman" w:hAnsiTheme="minorHAnsi"/>
          <w:lang w:eastAsia="en-GB"/>
        </w:rPr>
        <w:t>paid</w:t>
      </w:r>
      <w:r w:rsidR="004638E4">
        <w:rPr>
          <w:rFonts w:asciiTheme="minorHAnsi" w:eastAsia="Times New Roman" w:hAnsiTheme="minorHAnsi"/>
          <w:lang w:eastAsia="en-GB"/>
        </w:rPr>
        <w:t>)</w:t>
      </w:r>
      <w:r w:rsidRPr="006B7984">
        <w:rPr>
          <w:rFonts w:asciiTheme="minorHAnsi" w:eastAsia="Times New Roman" w:hAnsiTheme="minorHAnsi"/>
          <w:lang w:eastAsia="en-GB"/>
        </w:rPr>
        <w:t xml:space="preserve"> workers</w:t>
      </w:r>
      <w:r w:rsidR="00434DA3">
        <w:rPr>
          <w:rFonts w:asciiTheme="minorHAnsi" w:eastAsia="Times New Roman" w:hAnsiTheme="minorHAnsi"/>
          <w:lang w:eastAsia="en-GB"/>
        </w:rPr>
        <w:t xml:space="preserve"> and l</w:t>
      </w:r>
      <w:r w:rsidR="00DF1843">
        <w:rPr>
          <w:rFonts w:asciiTheme="minorHAnsi" w:eastAsia="Times New Roman" w:hAnsiTheme="minorHAnsi"/>
          <w:lang w:eastAsia="en-GB"/>
        </w:rPr>
        <w:t xml:space="preserve">ast but </w:t>
      </w:r>
      <w:r w:rsidR="00354E48" w:rsidRPr="006B7984">
        <w:rPr>
          <w:rFonts w:asciiTheme="minorHAnsi" w:eastAsia="Times New Roman" w:hAnsiTheme="minorHAnsi"/>
          <w:lang w:eastAsia="en-GB"/>
        </w:rPr>
        <w:t>not least</w:t>
      </w:r>
      <w:r w:rsidR="00DF1843">
        <w:rPr>
          <w:rFonts w:asciiTheme="minorHAnsi" w:eastAsia="Times New Roman" w:hAnsiTheme="minorHAnsi"/>
          <w:lang w:eastAsia="en-GB"/>
        </w:rPr>
        <w:t xml:space="preserve"> are the many </w:t>
      </w:r>
      <w:r w:rsidR="004638E4">
        <w:rPr>
          <w:rFonts w:asciiTheme="minorHAnsi" w:eastAsia="Times New Roman" w:hAnsiTheme="minorHAnsi"/>
          <w:lang w:eastAsia="en-GB"/>
        </w:rPr>
        <w:t xml:space="preserve">(non-paid) </w:t>
      </w:r>
      <w:r w:rsidRPr="006B7984">
        <w:rPr>
          <w:rFonts w:asciiTheme="minorHAnsi" w:eastAsia="Times New Roman" w:hAnsiTheme="minorHAnsi"/>
          <w:lang w:eastAsia="en-GB"/>
        </w:rPr>
        <w:t>volunteers</w:t>
      </w:r>
      <w:r w:rsidR="00DF1843">
        <w:rPr>
          <w:rFonts w:asciiTheme="minorHAnsi" w:eastAsia="Times New Roman" w:hAnsiTheme="minorHAnsi"/>
          <w:lang w:eastAsia="en-GB"/>
        </w:rPr>
        <w:t xml:space="preserve"> on whom </w:t>
      </w:r>
      <w:r w:rsidR="00434DA3">
        <w:rPr>
          <w:rFonts w:asciiTheme="minorHAnsi" w:eastAsia="Times New Roman" w:hAnsiTheme="minorHAnsi"/>
          <w:lang w:eastAsia="en-GB"/>
        </w:rPr>
        <w:t xml:space="preserve">many </w:t>
      </w:r>
      <w:r w:rsidR="00DF1843">
        <w:rPr>
          <w:rFonts w:asciiTheme="minorHAnsi" w:eastAsia="Times New Roman" w:hAnsiTheme="minorHAnsi"/>
          <w:lang w:eastAsia="en-GB"/>
        </w:rPr>
        <w:t>organisations depend</w:t>
      </w:r>
      <w:r w:rsidRPr="006B7984">
        <w:rPr>
          <w:rFonts w:asciiTheme="minorHAnsi" w:eastAsia="Times New Roman" w:hAnsiTheme="minorHAnsi"/>
          <w:lang w:eastAsia="en-GB"/>
        </w:rPr>
        <w:t xml:space="preserve">.  </w:t>
      </w:r>
      <w:r w:rsidR="00354E48" w:rsidRPr="006B7984">
        <w:rPr>
          <w:rFonts w:asciiTheme="minorHAnsi" w:eastAsia="Times New Roman" w:hAnsiTheme="minorHAnsi"/>
          <w:lang w:eastAsia="en-GB"/>
        </w:rPr>
        <w:t xml:space="preserve">To that end, </w:t>
      </w:r>
      <w:r w:rsidR="00B12BB9" w:rsidRPr="006B7984">
        <w:rPr>
          <w:rFonts w:asciiTheme="minorHAnsi" w:eastAsia="Times New Roman" w:hAnsiTheme="minorHAnsi"/>
          <w:lang w:eastAsia="en-GB"/>
        </w:rPr>
        <w:t xml:space="preserve">the formula </w:t>
      </w:r>
      <w:r w:rsidR="00354E48" w:rsidRPr="006B7984">
        <w:rPr>
          <w:rFonts w:asciiTheme="minorHAnsi" w:eastAsia="Times New Roman" w:hAnsiTheme="minorHAnsi"/>
          <w:lang w:eastAsia="en-GB"/>
        </w:rPr>
        <w:t>will allocate</w:t>
      </w:r>
      <w:r w:rsidR="00B12BB9" w:rsidRPr="006B7984">
        <w:rPr>
          <w:rFonts w:asciiTheme="minorHAnsi" w:eastAsia="Times New Roman" w:hAnsiTheme="minorHAnsi"/>
          <w:lang w:eastAsia="en-GB"/>
        </w:rPr>
        <w:t xml:space="preserve"> points </w:t>
      </w:r>
      <w:r w:rsidR="001B5E3E">
        <w:rPr>
          <w:rFonts w:asciiTheme="minorHAnsi" w:eastAsia="Times New Roman" w:hAnsiTheme="minorHAnsi"/>
          <w:lang w:eastAsia="en-GB"/>
        </w:rPr>
        <w:t>on a ‘</w:t>
      </w:r>
      <w:r w:rsidR="00E74BF0" w:rsidRPr="006B7984">
        <w:rPr>
          <w:rFonts w:asciiTheme="minorHAnsi" w:eastAsia="Times New Roman" w:hAnsiTheme="minorHAnsi"/>
          <w:lang w:eastAsia="en-GB"/>
        </w:rPr>
        <w:t>per person per organisation</w:t>
      </w:r>
      <w:r w:rsidR="001B5E3E">
        <w:rPr>
          <w:rFonts w:asciiTheme="minorHAnsi" w:eastAsia="Times New Roman" w:hAnsiTheme="minorHAnsi"/>
          <w:lang w:eastAsia="en-GB"/>
        </w:rPr>
        <w:t>’ basis as follows:</w:t>
      </w:r>
    </w:p>
    <w:p w14:paraId="4DC17DB6" w14:textId="77777777" w:rsidR="00B12BB9" w:rsidRPr="006B7984" w:rsidRDefault="00B12BB9" w:rsidP="003F7DAE">
      <w:pPr>
        <w:jc w:val="both"/>
        <w:rPr>
          <w:rFonts w:asciiTheme="minorHAnsi" w:eastAsia="Times New Roman" w:hAnsiTheme="minorHAnsi"/>
          <w:lang w:eastAsia="en-GB"/>
        </w:rPr>
      </w:pPr>
    </w:p>
    <w:p w14:paraId="130096AC" w14:textId="77777777" w:rsidR="00354E48" w:rsidRPr="006B7984" w:rsidRDefault="00354E48" w:rsidP="003F7DAE">
      <w:pPr>
        <w:ind w:firstLine="720"/>
        <w:jc w:val="both"/>
        <w:rPr>
          <w:rFonts w:asciiTheme="minorHAnsi" w:eastAsia="Times New Roman" w:hAnsiTheme="minorHAnsi"/>
          <w:lang w:eastAsia="en-GB"/>
        </w:rPr>
      </w:pPr>
      <w:r w:rsidRPr="006B7984">
        <w:rPr>
          <w:rFonts w:asciiTheme="minorHAnsi" w:eastAsia="Times New Roman" w:hAnsiTheme="minorHAnsi"/>
          <w:lang w:eastAsia="en-GB"/>
        </w:rPr>
        <w:t xml:space="preserve">Full Time </w:t>
      </w:r>
      <w:r w:rsidR="004638E4">
        <w:rPr>
          <w:rFonts w:asciiTheme="minorHAnsi" w:eastAsia="Times New Roman" w:hAnsiTheme="minorHAnsi"/>
          <w:lang w:eastAsia="en-GB"/>
        </w:rPr>
        <w:t>(</w:t>
      </w:r>
      <w:r w:rsidRPr="006B7984">
        <w:rPr>
          <w:rFonts w:asciiTheme="minorHAnsi" w:eastAsia="Times New Roman" w:hAnsiTheme="minorHAnsi"/>
          <w:lang w:eastAsia="en-GB"/>
        </w:rPr>
        <w:t>Paid</w:t>
      </w:r>
      <w:r w:rsidR="004638E4">
        <w:rPr>
          <w:rFonts w:asciiTheme="minorHAnsi" w:eastAsia="Times New Roman" w:hAnsiTheme="minorHAnsi"/>
          <w:lang w:eastAsia="en-GB"/>
        </w:rPr>
        <w:t>)</w:t>
      </w:r>
      <w:r w:rsidR="00082704">
        <w:rPr>
          <w:rFonts w:asciiTheme="minorHAnsi" w:eastAsia="Times New Roman" w:hAnsiTheme="minorHAnsi"/>
          <w:lang w:eastAsia="en-GB"/>
        </w:rPr>
        <w:t xml:space="preserve"> Employees    - 2</w:t>
      </w:r>
      <w:r w:rsidRPr="006B7984">
        <w:rPr>
          <w:rFonts w:asciiTheme="minorHAnsi" w:eastAsia="Times New Roman" w:hAnsiTheme="minorHAnsi"/>
          <w:lang w:eastAsia="en-GB"/>
        </w:rPr>
        <w:t xml:space="preserve">0 </w:t>
      </w:r>
      <w:r w:rsidR="00D7534B" w:rsidRPr="006B7984">
        <w:rPr>
          <w:rFonts w:asciiTheme="minorHAnsi" w:eastAsia="Times New Roman" w:hAnsiTheme="minorHAnsi"/>
          <w:lang w:eastAsia="en-GB"/>
        </w:rPr>
        <w:t xml:space="preserve">points </w:t>
      </w:r>
      <w:r w:rsidR="00D7534B">
        <w:rPr>
          <w:rFonts w:asciiTheme="minorHAnsi" w:eastAsia="Times New Roman" w:hAnsiTheme="minorHAnsi"/>
          <w:lang w:eastAsia="en-GB"/>
        </w:rPr>
        <w:t>per person</w:t>
      </w:r>
    </w:p>
    <w:p w14:paraId="18A0F903" w14:textId="77777777" w:rsidR="00354E48" w:rsidRPr="006B7984" w:rsidRDefault="00354E48" w:rsidP="003F7DAE">
      <w:pPr>
        <w:ind w:left="720"/>
        <w:jc w:val="both"/>
        <w:rPr>
          <w:rFonts w:asciiTheme="minorHAnsi" w:eastAsia="Times New Roman" w:hAnsiTheme="minorHAnsi"/>
          <w:lang w:eastAsia="en-GB"/>
        </w:rPr>
      </w:pPr>
      <w:r w:rsidRPr="006B7984">
        <w:rPr>
          <w:rFonts w:asciiTheme="minorHAnsi" w:eastAsia="Times New Roman" w:hAnsiTheme="minorHAnsi"/>
          <w:lang w:eastAsia="en-GB"/>
        </w:rPr>
        <w:t xml:space="preserve">Part Time </w:t>
      </w:r>
      <w:r w:rsidR="004638E4">
        <w:rPr>
          <w:rFonts w:asciiTheme="minorHAnsi" w:eastAsia="Times New Roman" w:hAnsiTheme="minorHAnsi"/>
          <w:lang w:eastAsia="en-GB"/>
        </w:rPr>
        <w:t>(</w:t>
      </w:r>
      <w:r w:rsidRPr="006B7984">
        <w:rPr>
          <w:rFonts w:asciiTheme="minorHAnsi" w:eastAsia="Times New Roman" w:hAnsiTheme="minorHAnsi"/>
          <w:lang w:eastAsia="en-GB"/>
        </w:rPr>
        <w:t>Paid</w:t>
      </w:r>
      <w:r w:rsidR="004638E4">
        <w:rPr>
          <w:rFonts w:asciiTheme="minorHAnsi" w:eastAsia="Times New Roman" w:hAnsiTheme="minorHAnsi"/>
          <w:lang w:eastAsia="en-GB"/>
        </w:rPr>
        <w:t>)</w:t>
      </w:r>
      <w:r w:rsidRPr="006B7984">
        <w:rPr>
          <w:rFonts w:asciiTheme="minorHAnsi" w:eastAsia="Times New Roman" w:hAnsiTheme="minorHAnsi"/>
          <w:lang w:eastAsia="en-GB"/>
        </w:rPr>
        <w:t xml:space="preserve"> Employees    - </w:t>
      </w:r>
      <w:r w:rsidR="00082704">
        <w:rPr>
          <w:rFonts w:asciiTheme="minorHAnsi" w:eastAsia="Times New Roman" w:hAnsiTheme="minorHAnsi"/>
          <w:lang w:eastAsia="en-GB"/>
        </w:rPr>
        <w:t>4</w:t>
      </w:r>
      <w:r w:rsidRPr="006B7984">
        <w:rPr>
          <w:rFonts w:asciiTheme="minorHAnsi" w:eastAsia="Times New Roman" w:hAnsiTheme="minorHAnsi"/>
          <w:lang w:eastAsia="en-GB"/>
        </w:rPr>
        <w:t xml:space="preserve"> p</w:t>
      </w:r>
      <w:r w:rsidR="00B12BB9" w:rsidRPr="006B7984">
        <w:rPr>
          <w:rFonts w:asciiTheme="minorHAnsi" w:eastAsia="Times New Roman" w:hAnsiTheme="minorHAnsi"/>
          <w:lang w:eastAsia="en-GB"/>
        </w:rPr>
        <w:t xml:space="preserve">oints </w:t>
      </w:r>
      <w:r w:rsidR="004638E4">
        <w:rPr>
          <w:rFonts w:asciiTheme="minorHAnsi" w:eastAsia="Times New Roman" w:hAnsiTheme="minorHAnsi"/>
          <w:lang w:eastAsia="en-GB"/>
        </w:rPr>
        <w:t xml:space="preserve">per day </w:t>
      </w:r>
      <w:r w:rsidR="00082704">
        <w:rPr>
          <w:rFonts w:asciiTheme="minorHAnsi" w:eastAsia="Times New Roman" w:hAnsiTheme="minorHAnsi"/>
          <w:lang w:eastAsia="en-GB"/>
        </w:rPr>
        <w:t xml:space="preserve">per week </w:t>
      </w:r>
      <w:r w:rsidR="00E74BF0" w:rsidRPr="006B7984">
        <w:rPr>
          <w:rFonts w:asciiTheme="minorHAnsi" w:eastAsia="Times New Roman" w:hAnsiTheme="minorHAnsi"/>
          <w:lang w:eastAsia="en-GB"/>
        </w:rPr>
        <w:t xml:space="preserve">(max </w:t>
      </w:r>
      <w:r w:rsidR="00082704">
        <w:rPr>
          <w:rFonts w:asciiTheme="minorHAnsi" w:eastAsia="Times New Roman" w:hAnsiTheme="minorHAnsi"/>
          <w:lang w:eastAsia="en-GB"/>
        </w:rPr>
        <w:t>16</w:t>
      </w:r>
      <w:r w:rsidR="00E74BF0" w:rsidRPr="006B7984">
        <w:rPr>
          <w:rFonts w:asciiTheme="minorHAnsi" w:eastAsia="Times New Roman" w:hAnsiTheme="minorHAnsi"/>
          <w:lang w:eastAsia="en-GB"/>
        </w:rPr>
        <w:t xml:space="preserve"> points)</w:t>
      </w:r>
      <w:r w:rsidR="00D7534B">
        <w:rPr>
          <w:rFonts w:asciiTheme="minorHAnsi" w:eastAsia="Times New Roman" w:hAnsiTheme="minorHAnsi"/>
          <w:lang w:eastAsia="en-GB"/>
        </w:rPr>
        <w:t xml:space="preserve"> per person</w:t>
      </w:r>
    </w:p>
    <w:p w14:paraId="727DA83A" w14:textId="77777777" w:rsidR="004534D0" w:rsidRPr="006B7984" w:rsidRDefault="00666940" w:rsidP="00666940">
      <w:p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 xml:space="preserve">             *</w:t>
      </w:r>
      <w:r w:rsidR="00354E48" w:rsidRPr="006B7984">
        <w:rPr>
          <w:rFonts w:asciiTheme="minorHAnsi" w:eastAsia="Times New Roman" w:hAnsiTheme="minorHAnsi"/>
          <w:lang w:eastAsia="en-GB"/>
        </w:rPr>
        <w:t xml:space="preserve">Volunteers </w:t>
      </w:r>
      <w:r w:rsidR="004638E4">
        <w:rPr>
          <w:rFonts w:asciiTheme="minorHAnsi" w:eastAsia="Times New Roman" w:hAnsiTheme="minorHAnsi"/>
          <w:lang w:eastAsia="en-GB"/>
        </w:rPr>
        <w:t>(</w:t>
      </w:r>
      <w:r w:rsidR="00082704">
        <w:rPr>
          <w:rFonts w:asciiTheme="minorHAnsi" w:eastAsia="Times New Roman" w:hAnsiTheme="minorHAnsi"/>
          <w:lang w:eastAsia="en-GB"/>
        </w:rPr>
        <w:t>Unp</w:t>
      </w:r>
      <w:r w:rsidR="004638E4">
        <w:rPr>
          <w:rFonts w:asciiTheme="minorHAnsi" w:eastAsia="Times New Roman" w:hAnsiTheme="minorHAnsi"/>
          <w:lang w:eastAsia="en-GB"/>
        </w:rPr>
        <w:t>aid)</w:t>
      </w:r>
      <w:r w:rsidR="00354E48" w:rsidRPr="006B7984">
        <w:rPr>
          <w:rFonts w:asciiTheme="minorHAnsi" w:eastAsia="Times New Roman" w:hAnsiTheme="minorHAnsi"/>
          <w:lang w:eastAsia="en-GB"/>
        </w:rPr>
        <w:tab/>
        <w:t xml:space="preserve">    </w:t>
      </w:r>
      <w:r w:rsidR="004638E4">
        <w:rPr>
          <w:rFonts w:asciiTheme="minorHAnsi" w:eastAsia="Times New Roman" w:hAnsiTheme="minorHAnsi"/>
          <w:lang w:eastAsia="en-GB"/>
        </w:rPr>
        <w:t xml:space="preserve">   </w:t>
      </w:r>
      <w:r w:rsidR="00D7534B">
        <w:rPr>
          <w:rFonts w:asciiTheme="minorHAnsi" w:eastAsia="Times New Roman" w:hAnsiTheme="minorHAnsi"/>
          <w:lang w:eastAsia="en-GB"/>
        </w:rPr>
        <w:t xml:space="preserve">   </w:t>
      </w:r>
      <w:r w:rsidR="00354E48" w:rsidRPr="006B7984">
        <w:rPr>
          <w:rFonts w:asciiTheme="minorHAnsi" w:eastAsia="Times New Roman" w:hAnsiTheme="minorHAnsi"/>
          <w:lang w:eastAsia="en-GB"/>
        </w:rPr>
        <w:t>- 1</w:t>
      </w:r>
      <w:r w:rsidR="00B12BB9" w:rsidRPr="006B7984">
        <w:rPr>
          <w:rFonts w:asciiTheme="minorHAnsi" w:eastAsia="Times New Roman" w:hAnsiTheme="minorHAnsi"/>
          <w:lang w:eastAsia="en-GB"/>
        </w:rPr>
        <w:t xml:space="preserve"> </w:t>
      </w:r>
      <w:r w:rsidR="00354E48" w:rsidRPr="006B7984">
        <w:rPr>
          <w:rFonts w:asciiTheme="minorHAnsi" w:eastAsia="Times New Roman" w:hAnsiTheme="minorHAnsi"/>
          <w:lang w:eastAsia="en-GB"/>
        </w:rPr>
        <w:t>p</w:t>
      </w:r>
      <w:r w:rsidR="00E74BF0" w:rsidRPr="006B7984">
        <w:rPr>
          <w:rFonts w:asciiTheme="minorHAnsi" w:eastAsia="Times New Roman" w:hAnsiTheme="minorHAnsi"/>
          <w:lang w:eastAsia="en-GB"/>
        </w:rPr>
        <w:t>oint</w:t>
      </w:r>
      <w:r w:rsidR="00354E48" w:rsidRPr="006B7984">
        <w:rPr>
          <w:rFonts w:asciiTheme="minorHAnsi" w:eastAsia="Times New Roman" w:hAnsiTheme="minorHAnsi"/>
          <w:lang w:eastAsia="en-GB"/>
        </w:rPr>
        <w:t xml:space="preserve"> </w:t>
      </w:r>
      <w:r w:rsidR="00D7534B">
        <w:rPr>
          <w:rFonts w:asciiTheme="minorHAnsi" w:eastAsia="Times New Roman" w:hAnsiTheme="minorHAnsi"/>
          <w:lang w:eastAsia="en-GB"/>
        </w:rPr>
        <w:t>per person</w:t>
      </w:r>
    </w:p>
    <w:p w14:paraId="59ABA57E" w14:textId="77777777" w:rsidR="00354E48" w:rsidRPr="006B7984" w:rsidRDefault="00354E48" w:rsidP="003F7DAE">
      <w:pPr>
        <w:jc w:val="both"/>
        <w:rPr>
          <w:rFonts w:asciiTheme="minorHAnsi" w:eastAsia="Times New Roman" w:hAnsiTheme="minorHAnsi"/>
          <w:lang w:eastAsia="en-GB"/>
        </w:rPr>
      </w:pPr>
    </w:p>
    <w:p w14:paraId="28F8A652" w14:textId="77777777" w:rsidR="00666940" w:rsidRDefault="00666940" w:rsidP="00107D56">
      <w:pPr>
        <w:ind w:left="720" w:right="1655"/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 xml:space="preserve">*In exceptional circumstances, where the contribution of an </w:t>
      </w:r>
      <w:r w:rsidR="00107D56">
        <w:rPr>
          <w:rFonts w:asciiTheme="minorHAnsi" w:eastAsia="Times New Roman" w:hAnsiTheme="minorHAnsi"/>
          <w:lang w:eastAsia="en-GB"/>
        </w:rPr>
        <w:t xml:space="preserve">individual </w:t>
      </w:r>
      <w:r>
        <w:rPr>
          <w:rFonts w:asciiTheme="minorHAnsi" w:eastAsia="Times New Roman" w:hAnsiTheme="minorHAnsi"/>
          <w:lang w:eastAsia="en-GB"/>
        </w:rPr>
        <w:t>unpaid volunteer exceed</w:t>
      </w:r>
      <w:r w:rsidR="00434DA3">
        <w:rPr>
          <w:rFonts w:asciiTheme="minorHAnsi" w:eastAsia="Times New Roman" w:hAnsiTheme="minorHAnsi"/>
          <w:lang w:eastAsia="en-GB"/>
        </w:rPr>
        <w:t xml:space="preserve">s </w:t>
      </w:r>
      <w:r w:rsidR="00107D56">
        <w:rPr>
          <w:rFonts w:asciiTheme="minorHAnsi" w:eastAsia="Times New Roman" w:hAnsiTheme="minorHAnsi"/>
          <w:lang w:eastAsia="en-GB"/>
        </w:rPr>
        <w:t xml:space="preserve">normal </w:t>
      </w:r>
      <w:r>
        <w:rPr>
          <w:rFonts w:asciiTheme="minorHAnsi" w:eastAsia="Times New Roman" w:hAnsiTheme="minorHAnsi"/>
          <w:lang w:eastAsia="en-GB"/>
        </w:rPr>
        <w:t>expectations over a prolonged period, the</w:t>
      </w:r>
      <w:r w:rsidR="00434DA3">
        <w:rPr>
          <w:rFonts w:asciiTheme="minorHAnsi" w:eastAsia="Times New Roman" w:hAnsiTheme="minorHAnsi"/>
          <w:lang w:eastAsia="en-GB"/>
        </w:rPr>
        <w:t xml:space="preserve">n the </w:t>
      </w:r>
      <w:r>
        <w:rPr>
          <w:rFonts w:asciiTheme="minorHAnsi" w:eastAsia="Times New Roman" w:hAnsiTheme="minorHAnsi"/>
          <w:lang w:eastAsia="en-GB"/>
        </w:rPr>
        <w:t xml:space="preserve">Port Welfare Committee </w:t>
      </w:r>
      <w:r w:rsidR="00434DA3">
        <w:rPr>
          <w:rFonts w:asciiTheme="minorHAnsi" w:eastAsia="Times New Roman" w:hAnsiTheme="minorHAnsi"/>
          <w:lang w:eastAsia="en-GB"/>
        </w:rPr>
        <w:t xml:space="preserve">or Port Authority should allocate </w:t>
      </w:r>
      <w:r w:rsidR="00107D56">
        <w:rPr>
          <w:rFonts w:asciiTheme="minorHAnsi" w:eastAsia="Times New Roman" w:hAnsiTheme="minorHAnsi"/>
          <w:lang w:eastAsia="en-GB"/>
        </w:rPr>
        <w:t xml:space="preserve">up to a </w:t>
      </w:r>
      <w:r>
        <w:rPr>
          <w:rFonts w:asciiTheme="minorHAnsi" w:eastAsia="Times New Roman" w:hAnsiTheme="minorHAnsi"/>
          <w:lang w:eastAsia="en-GB"/>
        </w:rPr>
        <w:t>maximum of 12 points</w:t>
      </w:r>
      <w:r w:rsidR="00107D56">
        <w:rPr>
          <w:rFonts w:asciiTheme="minorHAnsi" w:eastAsia="Times New Roman" w:hAnsiTheme="minorHAnsi"/>
          <w:lang w:eastAsia="en-GB"/>
        </w:rPr>
        <w:t>.</w:t>
      </w:r>
    </w:p>
    <w:p w14:paraId="66115F92" w14:textId="77777777" w:rsidR="00107D56" w:rsidRDefault="00107D56" w:rsidP="00666940">
      <w:pPr>
        <w:jc w:val="both"/>
        <w:rPr>
          <w:rFonts w:asciiTheme="minorHAnsi" w:eastAsia="Times New Roman" w:hAnsiTheme="minorHAnsi"/>
          <w:lang w:eastAsia="en-GB"/>
        </w:rPr>
      </w:pPr>
    </w:p>
    <w:p w14:paraId="438C3E54" w14:textId="77777777" w:rsidR="00E74BF0" w:rsidRPr="00666940" w:rsidRDefault="00B12BB9" w:rsidP="00666940">
      <w:pPr>
        <w:jc w:val="both"/>
        <w:rPr>
          <w:rFonts w:asciiTheme="minorHAnsi" w:eastAsia="Times New Roman" w:hAnsiTheme="minorHAnsi"/>
          <w:lang w:eastAsia="en-GB"/>
        </w:rPr>
      </w:pPr>
      <w:r w:rsidRPr="00666940">
        <w:rPr>
          <w:rFonts w:asciiTheme="minorHAnsi" w:eastAsia="Times New Roman" w:hAnsiTheme="minorHAnsi"/>
          <w:lang w:eastAsia="en-GB"/>
        </w:rPr>
        <w:lastRenderedPageBreak/>
        <w:t>T</w:t>
      </w:r>
      <w:r w:rsidR="001B5E3E" w:rsidRPr="00666940">
        <w:rPr>
          <w:rFonts w:asciiTheme="minorHAnsi" w:eastAsia="Times New Roman" w:hAnsiTheme="minorHAnsi"/>
          <w:lang w:eastAsia="en-GB"/>
        </w:rPr>
        <w:t>o</w:t>
      </w:r>
      <w:r w:rsidRPr="00666940">
        <w:rPr>
          <w:rFonts w:asciiTheme="minorHAnsi" w:eastAsia="Times New Roman" w:hAnsiTheme="minorHAnsi"/>
          <w:lang w:eastAsia="en-GB"/>
        </w:rPr>
        <w:t xml:space="preserve"> </w:t>
      </w:r>
      <w:r w:rsidR="001B5E3E" w:rsidRPr="00666940">
        <w:rPr>
          <w:rFonts w:asciiTheme="minorHAnsi" w:eastAsia="Times New Roman" w:hAnsiTheme="minorHAnsi"/>
          <w:lang w:eastAsia="en-GB"/>
        </w:rPr>
        <w:t xml:space="preserve">arrive at the </w:t>
      </w:r>
      <w:r w:rsidR="00EF740A" w:rsidRPr="00666940">
        <w:rPr>
          <w:rFonts w:asciiTheme="minorHAnsi" w:eastAsia="Times New Roman" w:hAnsiTheme="minorHAnsi"/>
          <w:lang w:eastAsia="en-GB"/>
        </w:rPr>
        <w:t xml:space="preserve">amount </w:t>
      </w:r>
      <w:r w:rsidR="004638E4" w:rsidRPr="00666940">
        <w:rPr>
          <w:rFonts w:asciiTheme="minorHAnsi" w:eastAsia="Times New Roman" w:hAnsiTheme="minorHAnsi"/>
          <w:lang w:eastAsia="en-GB"/>
        </w:rPr>
        <w:t xml:space="preserve">each </w:t>
      </w:r>
      <w:r w:rsidR="001B5E3E" w:rsidRPr="00666940">
        <w:rPr>
          <w:rFonts w:asciiTheme="minorHAnsi" w:eastAsia="Times New Roman" w:hAnsiTheme="minorHAnsi"/>
          <w:lang w:eastAsia="en-GB"/>
        </w:rPr>
        <w:t xml:space="preserve">organisation </w:t>
      </w:r>
      <w:r w:rsidR="0077018E" w:rsidRPr="00666940">
        <w:rPr>
          <w:rFonts w:asciiTheme="minorHAnsi" w:eastAsia="Times New Roman" w:hAnsiTheme="minorHAnsi"/>
          <w:lang w:eastAsia="en-GB"/>
        </w:rPr>
        <w:t xml:space="preserve">is due to </w:t>
      </w:r>
      <w:r w:rsidR="004638E4" w:rsidRPr="00666940">
        <w:rPr>
          <w:rFonts w:asciiTheme="minorHAnsi" w:eastAsia="Times New Roman" w:hAnsiTheme="minorHAnsi"/>
          <w:lang w:eastAsia="en-GB"/>
        </w:rPr>
        <w:t>receive, the</w:t>
      </w:r>
      <w:r w:rsidR="001B5E3E" w:rsidRPr="00666940">
        <w:rPr>
          <w:rFonts w:asciiTheme="minorHAnsi" w:eastAsia="Times New Roman" w:hAnsiTheme="minorHAnsi"/>
          <w:lang w:eastAsia="en-GB"/>
        </w:rPr>
        <w:t xml:space="preserve"> total </w:t>
      </w:r>
      <w:r w:rsidR="00BE5B19" w:rsidRPr="00666940">
        <w:rPr>
          <w:rFonts w:asciiTheme="minorHAnsi" w:eastAsia="Times New Roman" w:hAnsiTheme="minorHAnsi"/>
          <w:lang w:eastAsia="en-GB"/>
        </w:rPr>
        <w:t xml:space="preserve">sum of </w:t>
      </w:r>
      <w:r w:rsidR="00E74BF0" w:rsidRPr="00666940">
        <w:rPr>
          <w:rFonts w:asciiTheme="minorHAnsi" w:eastAsia="Times New Roman" w:hAnsiTheme="minorHAnsi"/>
          <w:lang w:eastAsia="en-GB"/>
        </w:rPr>
        <w:t xml:space="preserve">money </w:t>
      </w:r>
      <w:r w:rsidR="001B5E3E" w:rsidRPr="00666940">
        <w:rPr>
          <w:rFonts w:asciiTheme="minorHAnsi" w:eastAsia="Times New Roman" w:hAnsiTheme="minorHAnsi"/>
          <w:lang w:eastAsia="en-GB"/>
        </w:rPr>
        <w:t xml:space="preserve">to be </w:t>
      </w:r>
      <w:r w:rsidR="004638E4" w:rsidRPr="00666940">
        <w:rPr>
          <w:rFonts w:asciiTheme="minorHAnsi" w:eastAsia="Times New Roman" w:hAnsiTheme="minorHAnsi"/>
          <w:lang w:eastAsia="en-GB"/>
        </w:rPr>
        <w:t>distributed sh</w:t>
      </w:r>
      <w:r w:rsidR="00785E4B" w:rsidRPr="00666940">
        <w:rPr>
          <w:rFonts w:asciiTheme="minorHAnsi" w:eastAsia="Times New Roman" w:hAnsiTheme="minorHAnsi"/>
          <w:lang w:eastAsia="en-GB"/>
        </w:rPr>
        <w:t>all</w:t>
      </w:r>
      <w:r w:rsidR="001B5E3E" w:rsidRPr="00666940">
        <w:rPr>
          <w:rFonts w:asciiTheme="minorHAnsi" w:eastAsia="Times New Roman" w:hAnsiTheme="minorHAnsi"/>
          <w:lang w:eastAsia="en-GB"/>
        </w:rPr>
        <w:t xml:space="preserve"> be </w:t>
      </w:r>
      <w:r w:rsidR="00E74BF0" w:rsidRPr="00666940">
        <w:rPr>
          <w:rFonts w:asciiTheme="minorHAnsi" w:eastAsia="Times New Roman" w:hAnsiTheme="minorHAnsi"/>
          <w:lang w:eastAsia="en-GB"/>
        </w:rPr>
        <w:t xml:space="preserve">divided by the </w:t>
      </w:r>
      <w:r w:rsidR="00BE5B19" w:rsidRPr="00666940">
        <w:rPr>
          <w:rFonts w:asciiTheme="minorHAnsi" w:eastAsia="Times New Roman" w:hAnsiTheme="minorHAnsi"/>
          <w:lang w:eastAsia="en-GB"/>
        </w:rPr>
        <w:t xml:space="preserve">overall </w:t>
      </w:r>
      <w:r w:rsidR="00E74BF0" w:rsidRPr="00666940">
        <w:rPr>
          <w:rFonts w:asciiTheme="minorHAnsi" w:eastAsia="Times New Roman" w:hAnsiTheme="minorHAnsi"/>
          <w:lang w:eastAsia="en-GB"/>
        </w:rPr>
        <w:t>total number of points</w:t>
      </w:r>
      <w:r w:rsidR="001B5E3E" w:rsidRPr="00666940">
        <w:rPr>
          <w:rFonts w:asciiTheme="minorHAnsi" w:eastAsia="Times New Roman" w:hAnsiTheme="minorHAnsi"/>
          <w:lang w:eastAsia="en-GB"/>
        </w:rPr>
        <w:t xml:space="preserve">.  This </w:t>
      </w:r>
      <w:r w:rsidR="004638E4" w:rsidRPr="00666940">
        <w:rPr>
          <w:rFonts w:asciiTheme="minorHAnsi" w:eastAsia="Times New Roman" w:hAnsiTheme="minorHAnsi"/>
          <w:lang w:eastAsia="en-GB"/>
        </w:rPr>
        <w:t xml:space="preserve">will identify </w:t>
      </w:r>
      <w:r w:rsidR="00BE5B19" w:rsidRPr="00666940">
        <w:rPr>
          <w:rFonts w:asciiTheme="minorHAnsi" w:eastAsia="Times New Roman" w:hAnsiTheme="minorHAnsi"/>
          <w:lang w:eastAsia="en-GB"/>
        </w:rPr>
        <w:t xml:space="preserve">the amount of money </w:t>
      </w:r>
      <w:r w:rsidR="0077018E" w:rsidRPr="00666940">
        <w:rPr>
          <w:rFonts w:asciiTheme="minorHAnsi" w:eastAsia="Times New Roman" w:hAnsiTheme="minorHAnsi"/>
          <w:lang w:eastAsia="en-GB"/>
        </w:rPr>
        <w:t xml:space="preserve">available for </w:t>
      </w:r>
      <w:r w:rsidR="004638E4" w:rsidRPr="00666940">
        <w:rPr>
          <w:rFonts w:asciiTheme="minorHAnsi" w:eastAsia="Times New Roman" w:hAnsiTheme="minorHAnsi"/>
          <w:lang w:eastAsia="en-GB"/>
        </w:rPr>
        <w:t>distribut</w:t>
      </w:r>
      <w:r w:rsidR="0077018E" w:rsidRPr="00666940">
        <w:rPr>
          <w:rFonts w:asciiTheme="minorHAnsi" w:eastAsia="Times New Roman" w:hAnsiTheme="minorHAnsi"/>
          <w:lang w:eastAsia="en-GB"/>
        </w:rPr>
        <w:t xml:space="preserve">ion </w:t>
      </w:r>
      <w:r w:rsidR="00BE5B19" w:rsidRPr="00666940">
        <w:rPr>
          <w:rFonts w:asciiTheme="minorHAnsi" w:eastAsia="Times New Roman" w:hAnsiTheme="minorHAnsi"/>
          <w:lang w:eastAsia="en-GB"/>
        </w:rPr>
        <w:t>per point</w:t>
      </w:r>
      <w:r w:rsidR="001B5E3E" w:rsidRPr="00666940">
        <w:rPr>
          <w:rFonts w:asciiTheme="minorHAnsi" w:eastAsia="Times New Roman" w:hAnsiTheme="minorHAnsi"/>
          <w:lang w:eastAsia="en-GB"/>
        </w:rPr>
        <w:t xml:space="preserve">, which can </w:t>
      </w:r>
      <w:r w:rsidR="00014B37" w:rsidRPr="00666940">
        <w:rPr>
          <w:rFonts w:asciiTheme="minorHAnsi" w:eastAsia="Times New Roman" w:hAnsiTheme="minorHAnsi"/>
          <w:lang w:eastAsia="en-GB"/>
        </w:rPr>
        <w:t xml:space="preserve">then </w:t>
      </w:r>
      <w:r w:rsidR="001B5E3E" w:rsidRPr="00666940">
        <w:rPr>
          <w:rFonts w:asciiTheme="minorHAnsi" w:eastAsia="Times New Roman" w:hAnsiTheme="minorHAnsi"/>
          <w:lang w:eastAsia="en-GB"/>
        </w:rPr>
        <w:t xml:space="preserve">be </w:t>
      </w:r>
      <w:r w:rsidR="00BE5B19" w:rsidRPr="00666940">
        <w:rPr>
          <w:rFonts w:asciiTheme="minorHAnsi" w:eastAsia="Times New Roman" w:hAnsiTheme="minorHAnsi"/>
          <w:lang w:eastAsia="en-GB"/>
        </w:rPr>
        <w:t xml:space="preserve">multiplied by the number of points </w:t>
      </w:r>
      <w:r w:rsidR="006D2861" w:rsidRPr="00666940">
        <w:rPr>
          <w:rFonts w:asciiTheme="minorHAnsi" w:eastAsia="Times New Roman" w:hAnsiTheme="minorHAnsi"/>
          <w:lang w:eastAsia="en-GB"/>
        </w:rPr>
        <w:t>accumulated by each welfare organisation</w:t>
      </w:r>
      <w:r w:rsidR="00785E4B" w:rsidRPr="00666940">
        <w:rPr>
          <w:rFonts w:asciiTheme="minorHAnsi" w:eastAsia="Times New Roman" w:hAnsiTheme="minorHAnsi"/>
          <w:lang w:eastAsia="en-GB"/>
        </w:rPr>
        <w:t xml:space="preserve">.  </w:t>
      </w:r>
      <w:r w:rsidR="004638E4" w:rsidRPr="00666940">
        <w:rPr>
          <w:rFonts w:asciiTheme="minorHAnsi" w:eastAsia="Times New Roman" w:hAnsiTheme="minorHAnsi"/>
          <w:lang w:eastAsia="en-GB"/>
        </w:rPr>
        <w:t xml:space="preserve">The </w:t>
      </w:r>
      <w:r w:rsidR="00014B37" w:rsidRPr="00666940">
        <w:rPr>
          <w:rFonts w:asciiTheme="minorHAnsi" w:eastAsia="Times New Roman" w:hAnsiTheme="minorHAnsi"/>
          <w:lang w:eastAsia="en-GB"/>
        </w:rPr>
        <w:t xml:space="preserve">formula </w:t>
      </w:r>
      <w:r w:rsidR="0016214F">
        <w:rPr>
          <w:rFonts w:asciiTheme="minorHAnsi" w:eastAsia="Times New Roman" w:hAnsiTheme="minorHAnsi"/>
          <w:lang w:eastAsia="en-GB"/>
        </w:rPr>
        <w:t xml:space="preserve">can easily </w:t>
      </w:r>
      <w:r w:rsidR="00014B37" w:rsidRPr="00666940">
        <w:rPr>
          <w:rFonts w:asciiTheme="minorHAnsi" w:eastAsia="Times New Roman" w:hAnsiTheme="minorHAnsi"/>
          <w:lang w:eastAsia="en-GB"/>
        </w:rPr>
        <w:t xml:space="preserve">be calculated </w:t>
      </w:r>
      <w:r w:rsidR="00434DA3">
        <w:rPr>
          <w:rFonts w:asciiTheme="minorHAnsi" w:eastAsia="Times New Roman" w:hAnsiTheme="minorHAnsi"/>
          <w:lang w:eastAsia="en-GB"/>
        </w:rPr>
        <w:t xml:space="preserve">on a simple spreadsheet </w:t>
      </w:r>
      <w:r w:rsidR="004638E4" w:rsidRPr="00666940">
        <w:rPr>
          <w:rFonts w:asciiTheme="minorHAnsi" w:eastAsia="Times New Roman" w:hAnsiTheme="minorHAnsi"/>
          <w:lang w:eastAsia="en-GB"/>
        </w:rPr>
        <w:t xml:space="preserve">for </w:t>
      </w:r>
      <w:r w:rsidR="00785E4B" w:rsidRPr="00666940">
        <w:rPr>
          <w:rFonts w:asciiTheme="minorHAnsi" w:eastAsia="Times New Roman" w:hAnsiTheme="minorHAnsi"/>
          <w:lang w:eastAsia="en-GB"/>
        </w:rPr>
        <w:t xml:space="preserve">confirmation </w:t>
      </w:r>
      <w:r w:rsidR="004638E4" w:rsidRPr="00666940">
        <w:rPr>
          <w:rFonts w:asciiTheme="minorHAnsi" w:eastAsia="Times New Roman" w:hAnsiTheme="minorHAnsi"/>
          <w:lang w:eastAsia="en-GB"/>
        </w:rPr>
        <w:t xml:space="preserve">and approval at the appropriate </w:t>
      </w:r>
      <w:r w:rsidR="0016214F">
        <w:rPr>
          <w:rFonts w:asciiTheme="minorHAnsi" w:eastAsia="Times New Roman" w:hAnsiTheme="minorHAnsi"/>
          <w:lang w:eastAsia="en-GB"/>
        </w:rPr>
        <w:t xml:space="preserve">welfare board </w:t>
      </w:r>
      <w:r w:rsidR="00014B37" w:rsidRPr="00666940">
        <w:rPr>
          <w:rFonts w:asciiTheme="minorHAnsi" w:eastAsia="Times New Roman" w:hAnsiTheme="minorHAnsi"/>
          <w:lang w:eastAsia="en-GB"/>
        </w:rPr>
        <w:t>meeting.</w:t>
      </w:r>
      <w:r w:rsidR="00BE5B19" w:rsidRPr="00666940">
        <w:rPr>
          <w:rFonts w:asciiTheme="minorHAnsi" w:eastAsia="Times New Roman" w:hAnsiTheme="minorHAnsi"/>
          <w:lang w:eastAsia="en-GB"/>
        </w:rPr>
        <w:t xml:space="preserve"> </w:t>
      </w:r>
    </w:p>
    <w:p w14:paraId="763FF1A2" w14:textId="77777777" w:rsidR="00BA6EF2" w:rsidRDefault="00BA6EF2" w:rsidP="003F7DAE">
      <w:pPr>
        <w:jc w:val="both"/>
        <w:rPr>
          <w:rFonts w:asciiTheme="minorHAnsi" w:eastAsia="Times New Roman" w:hAnsiTheme="minorHAnsi"/>
          <w:b/>
          <w:lang w:eastAsia="en-GB"/>
        </w:rPr>
      </w:pPr>
    </w:p>
    <w:p w14:paraId="0E25BAE2" w14:textId="77777777" w:rsidR="0062397E" w:rsidRDefault="00821F03" w:rsidP="00DF1843">
      <w:pPr>
        <w:jc w:val="both"/>
        <w:rPr>
          <w:rFonts w:asciiTheme="minorHAnsi" w:eastAsia="Times New Roman" w:hAnsiTheme="minorHAnsi"/>
          <w:b/>
          <w:lang w:eastAsia="en-GB"/>
        </w:rPr>
      </w:pPr>
      <w:r w:rsidRPr="006B7984">
        <w:rPr>
          <w:rFonts w:asciiTheme="minorHAnsi" w:eastAsia="Times New Roman" w:hAnsiTheme="minorHAnsi"/>
          <w:b/>
          <w:lang w:eastAsia="en-GB"/>
        </w:rPr>
        <w:t xml:space="preserve">Funding </w:t>
      </w:r>
      <w:r w:rsidR="00F53C1E" w:rsidRPr="006B7984">
        <w:rPr>
          <w:rFonts w:asciiTheme="minorHAnsi" w:eastAsia="Times New Roman" w:hAnsiTheme="minorHAnsi"/>
          <w:b/>
          <w:lang w:eastAsia="en-GB"/>
        </w:rPr>
        <w:t xml:space="preserve">Conditions </w:t>
      </w:r>
    </w:p>
    <w:p w14:paraId="587F1A49" w14:textId="77777777" w:rsidR="00DF1843" w:rsidRPr="00DF1843" w:rsidRDefault="00DF1843" w:rsidP="00DF1843">
      <w:pPr>
        <w:jc w:val="both"/>
        <w:rPr>
          <w:rFonts w:asciiTheme="minorHAnsi" w:eastAsia="Times New Roman" w:hAnsiTheme="minorHAnsi"/>
          <w:b/>
          <w:lang w:eastAsia="en-GB"/>
        </w:rPr>
      </w:pPr>
    </w:p>
    <w:p w14:paraId="1F20467A" w14:textId="77777777" w:rsidR="00850466" w:rsidRPr="006B7984" w:rsidRDefault="00C21D23" w:rsidP="003F7DAE">
      <w:pPr>
        <w:spacing w:after="120"/>
        <w:jc w:val="both"/>
        <w:rPr>
          <w:rFonts w:asciiTheme="minorHAnsi" w:eastAsia="Times New Roman" w:hAnsiTheme="minorHAnsi"/>
          <w:lang w:eastAsia="en-GB"/>
        </w:rPr>
      </w:pPr>
      <w:r w:rsidRPr="006B7984">
        <w:rPr>
          <w:rFonts w:asciiTheme="minorHAnsi" w:hAnsiTheme="minorHAnsi"/>
          <w:lang w:val="en-US"/>
        </w:rPr>
        <w:t xml:space="preserve">By definition port levies are ultimately raised from ship owners, or charterers, </w:t>
      </w:r>
      <w:r w:rsidR="00DF1843">
        <w:rPr>
          <w:rFonts w:asciiTheme="minorHAnsi" w:hAnsiTheme="minorHAnsi"/>
          <w:lang w:val="en-US"/>
        </w:rPr>
        <w:t xml:space="preserve">via agents </w:t>
      </w:r>
      <w:r w:rsidRPr="006B7984">
        <w:rPr>
          <w:rFonts w:asciiTheme="minorHAnsi" w:hAnsiTheme="minorHAnsi"/>
          <w:lang w:val="en-US"/>
        </w:rPr>
        <w:t>whose vessels v</w:t>
      </w:r>
      <w:r w:rsidR="00821F03" w:rsidRPr="006B7984">
        <w:rPr>
          <w:rFonts w:asciiTheme="minorHAnsi" w:hAnsiTheme="minorHAnsi"/>
          <w:lang w:val="en-US"/>
        </w:rPr>
        <w:t xml:space="preserve">isit the </w:t>
      </w:r>
      <w:r w:rsidR="0016214F">
        <w:rPr>
          <w:rFonts w:asciiTheme="minorHAnsi" w:hAnsiTheme="minorHAnsi"/>
          <w:lang w:val="en-US"/>
        </w:rPr>
        <w:t>port</w:t>
      </w:r>
      <w:r w:rsidR="00401E60" w:rsidRPr="006B7984">
        <w:rPr>
          <w:rFonts w:asciiTheme="minorHAnsi" w:hAnsiTheme="minorHAnsi"/>
          <w:lang w:val="en-US"/>
        </w:rPr>
        <w:t>.</w:t>
      </w:r>
      <w:r w:rsidR="00F53C1E" w:rsidRPr="006B7984">
        <w:rPr>
          <w:rFonts w:asciiTheme="minorHAnsi" w:hAnsiTheme="minorHAnsi"/>
          <w:lang w:val="en-US"/>
        </w:rPr>
        <w:t xml:space="preserve"> For this </w:t>
      </w:r>
      <w:r w:rsidR="00DF1843" w:rsidRPr="006B7984">
        <w:rPr>
          <w:rFonts w:asciiTheme="minorHAnsi" w:hAnsiTheme="minorHAnsi"/>
          <w:lang w:val="en-US"/>
        </w:rPr>
        <w:t>reason,</w:t>
      </w:r>
      <w:r w:rsidRPr="006B7984">
        <w:rPr>
          <w:rFonts w:asciiTheme="minorHAnsi" w:hAnsiTheme="minorHAnsi"/>
          <w:lang w:val="en-US"/>
        </w:rPr>
        <w:t xml:space="preserve"> </w:t>
      </w:r>
      <w:r w:rsidR="00B66A9F" w:rsidRPr="006B7984">
        <w:rPr>
          <w:rFonts w:asciiTheme="minorHAnsi" w:eastAsia="Times New Roman" w:hAnsiTheme="minorHAnsi"/>
          <w:lang w:eastAsia="en-GB"/>
        </w:rPr>
        <w:t xml:space="preserve">any </w:t>
      </w:r>
      <w:r w:rsidR="00401E60" w:rsidRPr="006B7984">
        <w:rPr>
          <w:rFonts w:asciiTheme="minorHAnsi" w:eastAsia="Times New Roman" w:hAnsiTheme="minorHAnsi"/>
          <w:lang w:eastAsia="en-GB"/>
        </w:rPr>
        <w:t>funds raised</w:t>
      </w:r>
      <w:r w:rsidR="00821F03" w:rsidRPr="006B7984">
        <w:rPr>
          <w:rFonts w:asciiTheme="minorHAnsi" w:eastAsia="Times New Roman" w:hAnsiTheme="minorHAnsi"/>
          <w:lang w:eastAsia="en-GB"/>
        </w:rPr>
        <w:t xml:space="preserve"> </w:t>
      </w:r>
      <w:r w:rsidR="0062397E" w:rsidRPr="006B7984">
        <w:rPr>
          <w:rFonts w:asciiTheme="minorHAnsi" w:eastAsia="Times New Roman" w:hAnsiTheme="minorHAnsi"/>
          <w:lang w:eastAsia="en-GB"/>
        </w:rPr>
        <w:t>by the s</w:t>
      </w:r>
      <w:r w:rsidR="00401E60" w:rsidRPr="006B7984">
        <w:rPr>
          <w:rFonts w:asciiTheme="minorHAnsi" w:eastAsia="Times New Roman" w:hAnsiTheme="minorHAnsi"/>
          <w:lang w:eastAsia="en-GB"/>
        </w:rPr>
        <w:t>cheme</w:t>
      </w:r>
      <w:r w:rsidR="00821F03" w:rsidRPr="006B7984">
        <w:rPr>
          <w:rFonts w:asciiTheme="minorHAnsi" w:eastAsia="Times New Roman" w:hAnsiTheme="minorHAnsi"/>
          <w:lang w:eastAsia="en-GB"/>
        </w:rPr>
        <w:t xml:space="preserve"> will be </w:t>
      </w:r>
      <w:r w:rsidR="00B66A9F" w:rsidRPr="006B7984">
        <w:rPr>
          <w:rFonts w:asciiTheme="minorHAnsi" w:eastAsia="Times New Roman" w:hAnsiTheme="minorHAnsi"/>
          <w:lang w:eastAsia="en-GB"/>
        </w:rPr>
        <w:t>used solely</w:t>
      </w:r>
      <w:r w:rsidR="00985517" w:rsidRPr="006B7984">
        <w:rPr>
          <w:rFonts w:asciiTheme="minorHAnsi" w:eastAsia="Times New Roman" w:hAnsiTheme="minorHAnsi"/>
          <w:lang w:eastAsia="en-GB"/>
        </w:rPr>
        <w:t xml:space="preserve"> in</w:t>
      </w:r>
      <w:r w:rsidR="00F53C1E" w:rsidRPr="006B7984">
        <w:rPr>
          <w:rFonts w:asciiTheme="minorHAnsi" w:eastAsia="Times New Roman" w:hAnsiTheme="minorHAnsi"/>
          <w:lang w:eastAsia="en-GB"/>
        </w:rPr>
        <w:t xml:space="preserve"> support </w:t>
      </w:r>
      <w:r w:rsidR="00821F03" w:rsidRPr="006B7984">
        <w:rPr>
          <w:rFonts w:asciiTheme="minorHAnsi" w:eastAsia="Times New Roman" w:hAnsiTheme="minorHAnsi"/>
          <w:lang w:eastAsia="en-GB"/>
        </w:rPr>
        <w:t xml:space="preserve">of </w:t>
      </w:r>
      <w:r w:rsidR="00B66A9F" w:rsidRPr="006B7984">
        <w:rPr>
          <w:rFonts w:asciiTheme="minorHAnsi" w:eastAsia="Times New Roman" w:hAnsiTheme="minorHAnsi"/>
          <w:lang w:eastAsia="en-GB"/>
        </w:rPr>
        <w:t xml:space="preserve">the welfare of seafarers serving on vessels visiting the </w:t>
      </w:r>
      <w:r w:rsidR="0016214F">
        <w:rPr>
          <w:rFonts w:asciiTheme="minorHAnsi" w:eastAsia="Times New Roman" w:hAnsiTheme="minorHAnsi"/>
          <w:lang w:eastAsia="en-GB"/>
        </w:rPr>
        <w:t>port</w:t>
      </w:r>
      <w:r w:rsidRPr="006B7984">
        <w:rPr>
          <w:rFonts w:asciiTheme="minorHAnsi" w:eastAsia="Times New Roman" w:hAnsiTheme="minorHAnsi"/>
          <w:lang w:eastAsia="en-GB"/>
        </w:rPr>
        <w:t>.</w:t>
      </w:r>
      <w:r w:rsidR="0062397E" w:rsidRPr="006B7984">
        <w:rPr>
          <w:rFonts w:asciiTheme="minorHAnsi" w:eastAsia="Times New Roman" w:hAnsiTheme="minorHAnsi"/>
          <w:lang w:eastAsia="en-GB"/>
        </w:rPr>
        <w:t xml:space="preserve"> To that end, a</w:t>
      </w:r>
      <w:r w:rsidR="00F53C1E" w:rsidRPr="006B7984">
        <w:rPr>
          <w:rFonts w:asciiTheme="minorHAnsi" w:eastAsia="Times New Roman" w:hAnsiTheme="minorHAnsi"/>
          <w:lang w:eastAsia="en-GB"/>
        </w:rPr>
        <w:t xml:space="preserve">ll </w:t>
      </w:r>
      <w:r w:rsidR="001E5F59" w:rsidRPr="006B7984">
        <w:rPr>
          <w:rFonts w:asciiTheme="minorHAnsi" w:eastAsia="Times New Roman" w:hAnsiTheme="minorHAnsi"/>
          <w:lang w:eastAsia="en-GB"/>
        </w:rPr>
        <w:t xml:space="preserve">voluntary organisations </w:t>
      </w:r>
      <w:r w:rsidR="0062397E" w:rsidRPr="006B7984">
        <w:rPr>
          <w:rFonts w:asciiTheme="minorHAnsi" w:eastAsia="Times New Roman" w:hAnsiTheme="minorHAnsi"/>
          <w:lang w:eastAsia="en-GB"/>
        </w:rPr>
        <w:t xml:space="preserve">seeking to </w:t>
      </w:r>
      <w:r w:rsidR="00F53C1E" w:rsidRPr="006B7984">
        <w:rPr>
          <w:rFonts w:asciiTheme="minorHAnsi" w:eastAsia="Times New Roman" w:hAnsiTheme="minorHAnsi"/>
          <w:lang w:eastAsia="en-GB"/>
        </w:rPr>
        <w:t>receiv</w:t>
      </w:r>
      <w:r w:rsidR="0062397E" w:rsidRPr="006B7984">
        <w:rPr>
          <w:rFonts w:asciiTheme="minorHAnsi" w:eastAsia="Times New Roman" w:hAnsiTheme="minorHAnsi"/>
          <w:lang w:eastAsia="en-GB"/>
        </w:rPr>
        <w:t xml:space="preserve">e </w:t>
      </w:r>
      <w:r w:rsidR="00F53C1E" w:rsidRPr="006B7984">
        <w:rPr>
          <w:rFonts w:asciiTheme="minorHAnsi" w:eastAsia="Times New Roman" w:hAnsiTheme="minorHAnsi"/>
          <w:lang w:eastAsia="en-GB"/>
        </w:rPr>
        <w:t>fund</w:t>
      </w:r>
      <w:r w:rsidR="0062397E" w:rsidRPr="006B7984">
        <w:rPr>
          <w:rFonts w:asciiTheme="minorHAnsi" w:eastAsia="Times New Roman" w:hAnsiTheme="minorHAnsi"/>
          <w:lang w:eastAsia="en-GB"/>
        </w:rPr>
        <w:t xml:space="preserve">s from the scheme </w:t>
      </w:r>
      <w:r w:rsidR="00082704">
        <w:rPr>
          <w:rFonts w:asciiTheme="minorHAnsi" w:eastAsia="Times New Roman" w:hAnsiTheme="minorHAnsi"/>
          <w:lang w:eastAsia="en-GB"/>
        </w:rPr>
        <w:t xml:space="preserve">will be required to: </w:t>
      </w:r>
      <w:r w:rsidR="0062397E" w:rsidRPr="006B7984">
        <w:rPr>
          <w:rFonts w:asciiTheme="minorHAnsi" w:eastAsia="Times New Roman" w:hAnsiTheme="minorHAnsi"/>
          <w:lang w:eastAsia="en-GB"/>
        </w:rPr>
        <w:t xml:space="preserve"> </w:t>
      </w:r>
    </w:p>
    <w:p w14:paraId="343C75A3" w14:textId="77777777" w:rsidR="00850466" w:rsidRPr="006B7984" w:rsidRDefault="00082704" w:rsidP="003F7DAE">
      <w:pPr>
        <w:pStyle w:val="ListParagraph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R</w:t>
      </w:r>
      <w:r w:rsidR="00F53C1E" w:rsidRPr="006B7984">
        <w:rPr>
          <w:rFonts w:asciiTheme="minorHAnsi" w:eastAsia="Times New Roman" w:hAnsiTheme="minorHAnsi"/>
          <w:lang w:eastAsia="en-GB"/>
        </w:rPr>
        <w:t xml:space="preserve">espect </w:t>
      </w:r>
      <w:r w:rsidR="0062397E" w:rsidRPr="006B7984">
        <w:rPr>
          <w:rFonts w:asciiTheme="minorHAnsi" w:eastAsia="Times New Roman" w:hAnsiTheme="minorHAnsi"/>
          <w:lang w:eastAsia="en-GB"/>
        </w:rPr>
        <w:t xml:space="preserve">all </w:t>
      </w:r>
      <w:r w:rsidR="00F53C1E" w:rsidRPr="006B7984">
        <w:rPr>
          <w:rFonts w:asciiTheme="minorHAnsi" w:hAnsiTheme="minorHAnsi"/>
          <w:color w:val="000000"/>
        </w:rPr>
        <w:t xml:space="preserve">seafarers </w:t>
      </w:r>
      <w:r w:rsidR="0062397E" w:rsidRPr="006B7984">
        <w:rPr>
          <w:rFonts w:asciiTheme="minorHAnsi" w:hAnsiTheme="minorHAnsi"/>
          <w:color w:val="000000"/>
        </w:rPr>
        <w:t xml:space="preserve">irrespective </w:t>
      </w:r>
      <w:r w:rsidR="00F53C1E" w:rsidRPr="006B7984">
        <w:rPr>
          <w:rFonts w:asciiTheme="minorHAnsi" w:hAnsiTheme="minorHAnsi"/>
          <w:color w:val="000000"/>
        </w:rPr>
        <w:t xml:space="preserve">of </w:t>
      </w:r>
      <w:r w:rsidR="0062397E" w:rsidRPr="006B7984">
        <w:rPr>
          <w:rFonts w:asciiTheme="minorHAnsi" w:hAnsiTheme="minorHAnsi"/>
          <w:color w:val="000000"/>
        </w:rPr>
        <w:t>n</w:t>
      </w:r>
      <w:r w:rsidR="00F53C1E" w:rsidRPr="006B7984">
        <w:rPr>
          <w:rFonts w:asciiTheme="minorHAnsi" w:hAnsiTheme="minorHAnsi"/>
          <w:color w:val="000000"/>
        </w:rPr>
        <w:t>ationalit</w:t>
      </w:r>
      <w:r w:rsidR="0062397E" w:rsidRPr="006B7984">
        <w:rPr>
          <w:rFonts w:asciiTheme="minorHAnsi" w:hAnsiTheme="minorHAnsi"/>
          <w:color w:val="000000"/>
        </w:rPr>
        <w:t xml:space="preserve">y, </w:t>
      </w:r>
      <w:r w:rsidR="00F53C1E" w:rsidRPr="006B7984">
        <w:rPr>
          <w:rFonts w:asciiTheme="minorHAnsi" w:hAnsiTheme="minorHAnsi"/>
          <w:color w:val="000000"/>
        </w:rPr>
        <w:t>religion</w:t>
      </w:r>
      <w:r w:rsidR="0062397E" w:rsidRPr="006B7984">
        <w:rPr>
          <w:rFonts w:asciiTheme="minorHAnsi" w:hAnsiTheme="minorHAnsi"/>
          <w:color w:val="000000"/>
        </w:rPr>
        <w:t>, c</w:t>
      </w:r>
      <w:r w:rsidR="00F53C1E" w:rsidRPr="006B7984">
        <w:rPr>
          <w:rFonts w:asciiTheme="minorHAnsi" w:hAnsiTheme="minorHAnsi"/>
          <w:color w:val="000000"/>
        </w:rPr>
        <w:t>ulture, language, sex or race</w:t>
      </w:r>
      <w:r w:rsidR="00850466" w:rsidRPr="006B7984">
        <w:rPr>
          <w:rFonts w:asciiTheme="minorHAnsi" w:hAnsiTheme="minorHAnsi"/>
          <w:color w:val="000000"/>
        </w:rPr>
        <w:t>.</w:t>
      </w:r>
    </w:p>
    <w:p w14:paraId="0E79B45A" w14:textId="77777777" w:rsidR="00E26CA9" w:rsidRPr="006B7984" w:rsidRDefault="00082704" w:rsidP="003F7DAE">
      <w:pPr>
        <w:pStyle w:val="Vorgabetext"/>
        <w:numPr>
          <w:ilvl w:val="0"/>
          <w:numId w:val="6"/>
        </w:numPr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S</w:t>
      </w:r>
      <w:r w:rsidR="00E26CA9" w:rsidRPr="006B7984">
        <w:rPr>
          <w:rFonts w:asciiTheme="minorHAnsi" w:hAnsiTheme="minorHAnsi" w:cs="Times New Roman"/>
          <w:color w:val="000000"/>
          <w:sz w:val="22"/>
          <w:szCs w:val="22"/>
        </w:rPr>
        <w:t>tand against intolerance and injustice of any kind.</w:t>
      </w:r>
    </w:p>
    <w:p w14:paraId="6E0894C5" w14:textId="77777777" w:rsidR="00850466" w:rsidRPr="006B7984" w:rsidRDefault="00082704" w:rsidP="003F7DAE">
      <w:pPr>
        <w:pStyle w:val="ListParagraph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C</w:t>
      </w:r>
      <w:r w:rsidR="00850466" w:rsidRPr="006B7984">
        <w:rPr>
          <w:rFonts w:asciiTheme="minorHAnsi" w:hAnsiTheme="minorHAnsi"/>
          <w:color w:val="000000"/>
        </w:rPr>
        <w:t xml:space="preserve">o-operate </w:t>
      </w:r>
      <w:r w:rsidR="00D7534B">
        <w:rPr>
          <w:rFonts w:asciiTheme="minorHAnsi" w:hAnsiTheme="minorHAnsi"/>
          <w:color w:val="000000"/>
        </w:rPr>
        <w:t>fully</w:t>
      </w:r>
      <w:r w:rsidR="00985517" w:rsidRPr="006B7984">
        <w:rPr>
          <w:rFonts w:asciiTheme="minorHAnsi" w:hAnsiTheme="minorHAnsi"/>
          <w:color w:val="000000"/>
        </w:rPr>
        <w:t xml:space="preserve"> </w:t>
      </w:r>
      <w:r w:rsidR="00850466" w:rsidRPr="006B7984">
        <w:rPr>
          <w:rFonts w:asciiTheme="minorHAnsi" w:hAnsiTheme="minorHAnsi"/>
          <w:color w:val="000000"/>
        </w:rPr>
        <w:t>and work in collaboration</w:t>
      </w:r>
      <w:r w:rsidR="006B7984" w:rsidRPr="006B7984">
        <w:rPr>
          <w:rFonts w:asciiTheme="minorHAnsi" w:hAnsiTheme="minorHAnsi"/>
          <w:color w:val="000000"/>
        </w:rPr>
        <w:t xml:space="preserve"> </w:t>
      </w:r>
      <w:r w:rsidR="00850466" w:rsidRPr="006B7984">
        <w:rPr>
          <w:rFonts w:asciiTheme="minorHAnsi" w:hAnsiTheme="minorHAnsi"/>
          <w:color w:val="000000"/>
        </w:rPr>
        <w:t xml:space="preserve">with </w:t>
      </w:r>
      <w:r w:rsidR="00985517" w:rsidRPr="006B7984">
        <w:rPr>
          <w:rFonts w:asciiTheme="minorHAnsi" w:hAnsiTheme="minorHAnsi"/>
          <w:color w:val="000000"/>
        </w:rPr>
        <w:t>other</w:t>
      </w:r>
      <w:r w:rsidR="00850466" w:rsidRPr="006B7984">
        <w:rPr>
          <w:rFonts w:asciiTheme="minorHAnsi" w:hAnsiTheme="minorHAnsi"/>
          <w:color w:val="000000"/>
        </w:rPr>
        <w:t xml:space="preserve">s </w:t>
      </w:r>
      <w:r w:rsidR="00985517" w:rsidRPr="006B7984">
        <w:rPr>
          <w:rFonts w:asciiTheme="minorHAnsi" w:hAnsiTheme="minorHAnsi"/>
          <w:color w:val="000000"/>
        </w:rPr>
        <w:t>providing</w:t>
      </w:r>
      <w:r w:rsidR="00850466" w:rsidRPr="006B7984">
        <w:rPr>
          <w:rFonts w:asciiTheme="minorHAnsi" w:hAnsiTheme="minorHAnsi"/>
          <w:color w:val="000000"/>
        </w:rPr>
        <w:t xml:space="preserve"> welfare for seafarers.</w:t>
      </w:r>
    </w:p>
    <w:p w14:paraId="5A402C9F" w14:textId="77777777" w:rsidR="0062397E" w:rsidRPr="006B7984" w:rsidRDefault="00082704" w:rsidP="003F7DAE">
      <w:pPr>
        <w:pStyle w:val="ListParagraph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A</w:t>
      </w:r>
      <w:r w:rsidR="0062397E" w:rsidRPr="006B7984">
        <w:rPr>
          <w:rFonts w:asciiTheme="minorHAnsi" w:eastAsia="Times New Roman" w:hAnsiTheme="minorHAnsi"/>
          <w:lang w:eastAsia="en-GB"/>
        </w:rPr>
        <w:t xml:space="preserve">gree to abide strictly by the rules </w:t>
      </w:r>
      <w:r>
        <w:rPr>
          <w:rFonts w:asciiTheme="minorHAnsi" w:eastAsia="Times New Roman" w:hAnsiTheme="minorHAnsi"/>
          <w:lang w:eastAsia="en-GB"/>
        </w:rPr>
        <w:t xml:space="preserve">of access to port areas </w:t>
      </w:r>
      <w:r w:rsidR="0062397E" w:rsidRPr="006B7984">
        <w:rPr>
          <w:rFonts w:asciiTheme="minorHAnsi" w:eastAsia="Times New Roman" w:hAnsiTheme="minorHAnsi"/>
          <w:lang w:eastAsia="en-GB"/>
        </w:rPr>
        <w:t>set down by the port authority or quay operator and will attend any additionally required local health and safety induction training.</w:t>
      </w:r>
    </w:p>
    <w:p w14:paraId="6AFCAEB2" w14:textId="77777777" w:rsidR="00B8680D" w:rsidRPr="006B7984" w:rsidRDefault="00082704" w:rsidP="003F7DAE">
      <w:pPr>
        <w:pStyle w:val="ListParagraph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O</w:t>
      </w:r>
      <w:r w:rsidR="00B8680D" w:rsidRPr="006B7984">
        <w:rPr>
          <w:rFonts w:asciiTheme="minorHAnsi" w:eastAsia="Times New Roman" w:hAnsiTheme="minorHAnsi"/>
          <w:lang w:eastAsia="en-GB"/>
        </w:rPr>
        <w:t>nly board vessels when authorised to do so by the ship’s master, or the duty officer.</w:t>
      </w:r>
    </w:p>
    <w:p w14:paraId="7AC6C1D2" w14:textId="77777777" w:rsidR="00850466" w:rsidRPr="006B7984" w:rsidRDefault="00082704" w:rsidP="003F7DAE">
      <w:pPr>
        <w:pStyle w:val="ListParagraph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E</w:t>
      </w:r>
      <w:r w:rsidR="0062397E" w:rsidRPr="006B7984">
        <w:rPr>
          <w:rFonts w:asciiTheme="minorHAnsi" w:eastAsia="Times New Roman" w:hAnsiTheme="minorHAnsi"/>
          <w:lang w:eastAsia="en-GB"/>
        </w:rPr>
        <w:t xml:space="preserve">nsure their ship visiting representatives </w:t>
      </w:r>
      <w:r w:rsidR="00850466" w:rsidRPr="006B7984">
        <w:rPr>
          <w:rFonts w:asciiTheme="minorHAnsi" w:eastAsia="Times New Roman" w:hAnsiTheme="minorHAnsi"/>
          <w:lang w:eastAsia="en-GB"/>
        </w:rPr>
        <w:t>have received</w:t>
      </w:r>
      <w:r w:rsidR="00985517" w:rsidRPr="006B7984">
        <w:rPr>
          <w:rFonts w:asciiTheme="minorHAnsi" w:eastAsia="Times New Roman" w:hAnsiTheme="minorHAnsi"/>
          <w:lang w:eastAsia="en-GB"/>
        </w:rPr>
        <w:t xml:space="preserve"> proper</w:t>
      </w:r>
      <w:r w:rsidR="00850466" w:rsidRPr="006B7984">
        <w:rPr>
          <w:rFonts w:asciiTheme="minorHAnsi" w:eastAsia="Times New Roman" w:hAnsiTheme="minorHAnsi"/>
          <w:lang w:eastAsia="en-GB"/>
        </w:rPr>
        <w:t xml:space="preserve"> training and, other than in exceptional circumstances, be holders of a </w:t>
      </w:r>
      <w:r w:rsidR="00E00F8E">
        <w:rPr>
          <w:rFonts w:asciiTheme="minorHAnsi" w:eastAsia="Times New Roman" w:hAnsiTheme="minorHAnsi"/>
          <w:lang w:eastAsia="en-GB"/>
        </w:rPr>
        <w:t>‘</w:t>
      </w:r>
      <w:r w:rsidR="001E5F59" w:rsidRPr="006B7984">
        <w:rPr>
          <w:rFonts w:asciiTheme="minorHAnsi" w:eastAsia="Times New Roman" w:hAnsiTheme="minorHAnsi"/>
          <w:lang w:eastAsia="en-GB"/>
        </w:rPr>
        <w:t>Ship Welfare V</w:t>
      </w:r>
      <w:r>
        <w:rPr>
          <w:rFonts w:asciiTheme="minorHAnsi" w:eastAsia="Times New Roman" w:hAnsiTheme="minorHAnsi"/>
          <w:lang w:eastAsia="en-GB"/>
        </w:rPr>
        <w:t>isitor Identity C</w:t>
      </w:r>
      <w:r w:rsidR="00850466" w:rsidRPr="006B7984">
        <w:rPr>
          <w:rFonts w:asciiTheme="minorHAnsi" w:eastAsia="Times New Roman" w:hAnsiTheme="minorHAnsi"/>
          <w:lang w:eastAsia="en-GB"/>
        </w:rPr>
        <w:t>ard</w:t>
      </w:r>
      <w:r w:rsidR="006B7984" w:rsidRPr="006B7984">
        <w:rPr>
          <w:rFonts w:asciiTheme="minorHAnsi" w:eastAsia="Times New Roman" w:hAnsiTheme="minorHAnsi"/>
          <w:lang w:eastAsia="en-GB"/>
        </w:rPr>
        <w:t>’</w:t>
      </w:r>
      <w:r w:rsidR="0062397E" w:rsidRPr="006B7984">
        <w:rPr>
          <w:rFonts w:asciiTheme="minorHAnsi" w:eastAsia="Times New Roman" w:hAnsiTheme="minorHAnsi"/>
          <w:lang w:eastAsia="en-GB"/>
        </w:rPr>
        <w:t xml:space="preserve">, </w:t>
      </w:r>
      <w:r w:rsidR="00850466" w:rsidRPr="006B7984">
        <w:rPr>
          <w:rFonts w:asciiTheme="minorHAnsi" w:eastAsia="Times New Roman" w:hAnsiTheme="minorHAnsi"/>
          <w:lang w:eastAsia="en-GB"/>
        </w:rPr>
        <w:t>which is evidence of training.</w:t>
      </w:r>
    </w:p>
    <w:p w14:paraId="36068981" w14:textId="77777777" w:rsidR="004A0FD5" w:rsidRDefault="008B42C8" w:rsidP="003F7DAE">
      <w:pPr>
        <w:pStyle w:val="ListParagraph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A</w:t>
      </w:r>
      <w:r w:rsidR="004A0FD5" w:rsidRPr="006B7984">
        <w:rPr>
          <w:rFonts w:asciiTheme="minorHAnsi" w:eastAsia="Times New Roman" w:hAnsiTheme="minorHAnsi"/>
          <w:lang w:eastAsia="en-GB"/>
        </w:rPr>
        <w:t xml:space="preserve">gree that any press related matters to do with the port levy scheme </w:t>
      </w:r>
      <w:r w:rsidR="001E5F59" w:rsidRPr="006B7984">
        <w:rPr>
          <w:rFonts w:asciiTheme="minorHAnsi" w:eastAsia="Times New Roman" w:hAnsiTheme="minorHAnsi"/>
          <w:lang w:eastAsia="en-GB"/>
        </w:rPr>
        <w:t>must</w:t>
      </w:r>
      <w:r>
        <w:rPr>
          <w:rFonts w:asciiTheme="minorHAnsi" w:eastAsia="Times New Roman" w:hAnsiTheme="minorHAnsi"/>
          <w:lang w:eastAsia="en-GB"/>
        </w:rPr>
        <w:t xml:space="preserve"> </w:t>
      </w:r>
      <w:r w:rsidR="004A0FD5" w:rsidRPr="006B7984">
        <w:rPr>
          <w:rFonts w:asciiTheme="minorHAnsi" w:eastAsia="Times New Roman" w:hAnsiTheme="minorHAnsi"/>
          <w:lang w:eastAsia="en-GB"/>
        </w:rPr>
        <w:t xml:space="preserve">be </w:t>
      </w:r>
      <w:r>
        <w:rPr>
          <w:rFonts w:asciiTheme="minorHAnsi" w:eastAsia="Times New Roman" w:hAnsiTheme="minorHAnsi"/>
          <w:lang w:eastAsia="en-GB"/>
        </w:rPr>
        <w:t xml:space="preserve">approved and promulgated by the </w:t>
      </w:r>
      <w:r w:rsidR="004A0FD5" w:rsidRPr="006B7984">
        <w:rPr>
          <w:rFonts w:asciiTheme="minorHAnsi" w:eastAsia="Times New Roman" w:hAnsiTheme="minorHAnsi"/>
          <w:lang w:eastAsia="en-GB"/>
        </w:rPr>
        <w:t xml:space="preserve">Port </w:t>
      </w:r>
      <w:r w:rsidR="00E00F8E">
        <w:rPr>
          <w:rFonts w:asciiTheme="minorHAnsi" w:eastAsia="Times New Roman" w:hAnsiTheme="minorHAnsi"/>
          <w:lang w:eastAsia="en-GB"/>
        </w:rPr>
        <w:t>Authority</w:t>
      </w:r>
      <w:r w:rsidR="004A0FD5" w:rsidRPr="006B7984">
        <w:rPr>
          <w:rFonts w:asciiTheme="minorHAnsi" w:eastAsia="Times New Roman" w:hAnsiTheme="minorHAnsi"/>
          <w:lang w:eastAsia="en-GB"/>
        </w:rPr>
        <w:t xml:space="preserve">. </w:t>
      </w:r>
    </w:p>
    <w:p w14:paraId="33D5E937" w14:textId="77777777" w:rsidR="00785E4B" w:rsidRPr="004F6A8B" w:rsidRDefault="00785E4B" w:rsidP="003F7DAE">
      <w:pPr>
        <w:pStyle w:val="ListParagraph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en-GB"/>
        </w:rPr>
      </w:pPr>
      <w:r w:rsidRPr="004F6A8B">
        <w:rPr>
          <w:rFonts w:asciiTheme="minorHAnsi" w:eastAsia="Times New Roman" w:hAnsiTheme="minorHAnsi"/>
          <w:lang w:eastAsia="en-GB"/>
        </w:rPr>
        <w:t xml:space="preserve">They must agree to submit all grant applications in time for distribution with agendas in readiness for discussion at </w:t>
      </w:r>
      <w:r w:rsidR="00E00F8E" w:rsidRPr="004F6A8B">
        <w:rPr>
          <w:rFonts w:asciiTheme="minorHAnsi" w:eastAsia="Times New Roman" w:hAnsiTheme="minorHAnsi"/>
          <w:lang w:eastAsia="en-GB"/>
        </w:rPr>
        <w:t xml:space="preserve">welfare board </w:t>
      </w:r>
      <w:r w:rsidRPr="004F6A8B">
        <w:rPr>
          <w:rFonts w:asciiTheme="minorHAnsi" w:eastAsia="Times New Roman" w:hAnsiTheme="minorHAnsi"/>
          <w:lang w:eastAsia="en-GB"/>
        </w:rPr>
        <w:t xml:space="preserve">meetings.  </w:t>
      </w:r>
    </w:p>
    <w:p w14:paraId="3060A42B" w14:textId="77777777" w:rsidR="00CB1889" w:rsidRPr="004F6A8B" w:rsidRDefault="00CB1889" w:rsidP="003F7DAE">
      <w:pPr>
        <w:pStyle w:val="ListParagraph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en-GB"/>
        </w:rPr>
      </w:pPr>
      <w:r w:rsidRPr="004F6A8B">
        <w:rPr>
          <w:rFonts w:asciiTheme="minorHAnsi" w:eastAsia="Times New Roman" w:hAnsiTheme="minorHAnsi"/>
          <w:lang w:eastAsia="en-GB"/>
        </w:rPr>
        <w:t xml:space="preserve">They must agree to provide appropriate receipts as proof of </w:t>
      </w:r>
      <w:r w:rsidR="001E5F59" w:rsidRPr="004F6A8B">
        <w:rPr>
          <w:rFonts w:asciiTheme="minorHAnsi" w:eastAsia="Times New Roman" w:hAnsiTheme="minorHAnsi"/>
          <w:lang w:eastAsia="en-GB"/>
        </w:rPr>
        <w:t>purchase/</w:t>
      </w:r>
      <w:r w:rsidRPr="004F6A8B">
        <w:rPr>
          <w:rFonts w:asciiTheme="minorHAnsi" w:eastAsia="Times New Roman" w:hAnsiTheme="minorHAnsi"/>
          <w:lang w:eastAsia="en-GB"/>
        </w:rPr>
        <w:t>expenditure</w:t>
      </w:r>
      <w:r w:rsidR="00C567C3" w:rsidRPr="004F6A8B">
        <w:rPr>
          <w:rFonts w:asciiTheme="minorHAnsi" w:eastAsia="Times New Roman" w:hAnsiTheme="minorHAnsi"/>
          <w:lang w:eastAsia="en-GB"/>
        </w:rPr>
        <w:t>.</w:t>
      </w:r>
    </w:p>
    <w:p w14:paraId="0686E083" w14:textId="77777777" w:rsidR="00C567C3" w:rsidRPr="004F6A8B" w:rsidRDefault="00C567C3" w:rsidP="003F7DAE">
      <w:pPr>
        <w:pStyle w:val="ListParagraph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en-GB"/>
        </w:rPr>
      </w:pPr>
      <w:r w:rsidRPr="004F6A8B">
        <w:rPr>
          <w:rFonts w:asciiTheme="minorHAnsi" w:eastAsia="Times New Roman" w:hAnsiTheme="minorHAnsi"/>
          <w:lang w:eastAsia="en-GB"/>
        </w:rPr>
        <w:t xml:space="preserve">They must agree to provide </w:t>
      </w:r>
      <w:r w:rsidR="00E00F8E" w:rsidRPr="004F6A8B">
        <w:rPr>
          <w:rFonts w:asciiTheme="minorHAnsi" w:eastAsia="Times New Roman" w:hAnsiTheme="minorHAnsi"/>
          <w:lang w:eastAsia="en-GB"/>
        </w:rPr>
        <w:t xml:space="preserve">the Port Authority </w:t>
      </w:r>
      <w:r w:rsidRPr="004F6A8B">
        <w:rPr>
          <w:rFonts w:asciiTheme="minorHAnsi" w:eastAsia="Times New Roman" w:hAnsiTheme="minorHAnsi"/>
          <w:lang w:eastAsia="en-GB"/>
        </w:rPr>
        <w:t>with B</w:t>
      </w:r>
      <w:r w:rsidR="006B7984" w:rsidRPr="004F6A8B">
        <w:rPr>
          <w:rFonts w:asciiTheme="minorHAnsi" w:eastAsia="Times New Roman" w:hAnsiTheme="minorHAnsi"/>
          <w:lang w:eastAsia="en-GB"/>
        </w:rPr>
        <w:t>ACS details for money transfer.</w:t>
      </w:r>
    </w:p>
    <w:p w14:paraId="7F5FC1BA" w14:textId="77777777" w:rsidR="004534D0" w:rsidRPr="004F6A8B" w:rsidRDefault="004534D0" w:rsidP="003F7DAE">
      <w:pPr>
        <w:rPr>
          <w:rFonts w:asciiTheme="minorHAnsi" w:hAnsiTheme="minorHAnsi"/>
          <w:b/>
          <w:bCs/>
          <w:lang w:eastAsia="en-GB"/>
        </w:rPr>
      </w:pPr>
    </w:p>
    <w:p w14:paraId="1797E8FF" w14:textId="77777777" w:rsidR="00E26CA9" w:rsidRPr="006B7984" w:rsidRDefault="00E26CA9" w:rsidP="003F7DAE">
      <w:pPr>
        <w:rPr>
          <w:rFonts w:asciiTheme="minorHAnsi" w:hAnsiTheme="minorHAnsi"/>
          <w:b/>
          <w:bCs/>
          <w:lang w:eastAsia="en-GB"/>
        </w:rPr>
      </w:pPr>
      <w:r w:rsidRPr="006B7984">
        <w:rPr>
          <w:rFonts w:asciiTheme="minorHAnsi" w:hAnsiTheme="minorHAnsi"/>
          <w:b/>
          <w:bCs/>
          <w:lang w:eastAsia="en-GB"/>
        </w:rPr>
        <w:t>D</w:t>
      </w:r>
      <w:r w:rsidR="00B66A9F" w:rsidRPr="006B7984">
        <w:rPr>
          <w:rFonts w:asciiTheme="minorHAnsi" w:hAnsiTheme="minorHAnsi"/>
          <w:b/>
          <w:bCs/>
          <w:lang w:eastAsia="en-GB"/>
        </w:rPr>
        <w:t>istribution</w:t>
      </w:r>
      <w:r w:rsidR="001E5F59" w:rsidRPr="006B7984">
        <w:rPr>
          <w:rFonts w:asciiTheme="minorHAnsi" w:hAnsiTheme="minorHAnsi"/>
          <w:b/>
          <w:bCs/>
          <w:lang w:eastAsia="en-GB"/>
        </w:rPr>
        <w:t xml:space="preserve"> of F</w:t>
      </w:r>
      <w:r w:rsidRPr="006B7984">
        <w:rPr>
          <w:rFonts w:asciiTheme="minorHAnsi" w:hAnsiTheme="minorHAnsi"/>
          <w:b/>
          <w:bCs/>
          <w:lang w:eastAsia="en-GB"/>
        </w:rPr>
        <w:t>unds</w:t>
      </w:r>
    </w:p>
    <w:p w14:paraId="39D22BD2" w14:textId="77777777" w:rsidR="00E26CA9" w:rsidRPr="006B7984" w:rsidRDefault="00E26CA9" w:rsidP="003F7DAE">
      <w:pPr>
        <w:rPr>
          <w:rFonts w:asciiTheme="minorHAnsi" w:hAnsiTheme="minorHAnsi"/>
          <w:b/>
          <w:bCs/>
          <w:lang w:eastAsia="en-GB"/>
        </w:rPr>
      </w:pPr>
    </w:p>
    <w:p w14:paraId="4EE7DF12" w14:textId="77777777" w:rsidR="00E26CA9" w:rsidRPr="006B7984" w:rsidRDefault="00E26CA9" w:rsidP="00680BEC">
      <w:pPr>
        <w:tabs>
          <w:tab w:val="left" w:pos="7797"/>
        </w:tabs>
        <w:jc w:val="both"/>
        <w:rPr>
          <w:rFonts w:asciiTheme="minorHAnsi" w:hAnsiTheme="minorHAnsi"/>
          <w:bCs/>
          <w:lang w:eastAsia="en-GB"/>
        </w:rPr>
      </w:pPr>
      <w:r w:rsidRPr="006B7984">
        <w:rPr>
          <w:rFonts w:asciiTheme="minorHAnsi" w:hAnsiTheme="minorHAnsi"/>
          <w:bCs/>
          <w:lang w:eastAsia="en-GB"/>
        </w:rPr>
        <w:t xml:space="preserve">The </w:t>
      </w:r>
      <w:r w:rsidR="004F6A8B">
        <w:rPr>
          <w:rFonts w:asciiTheme="minorHAnsi" w:hAnsiTheme="minorHAnsi"/>
          <w:bCs/>
          <w:lang w:eastAsia="en-GB"/>
        </w:rPr>
        <w:t>welfare board</w:t>
      </w:r>
      <w:r w:rsidR="00680BEC">
        <w:rPr>
          <w:rFonts w:asciiTheme="minorHAnsi" w:hAnsiTheme="minorHAnsi"/>
          <w:bCs/>
          <w:lang w:eastAsia="en-GB"/>
        </w:rPr>
        <w:t>,</w:t>
      </w:r>
      <w:r w:rsidR="00CB1889" w:rsidRPr="006B7984">
        <w:rPr>
          <w:rFonts w:asciiTheme="minorHAnsi" w:hAnsiTheme="minorHAnsi"/>
          <w:bCs/>
          <w:lang w:eastAsia="en-GB"/>
        </w:rPr>
        <w:t xml:space="preserve"> </w:t>
      </w:r>
      <w:r w:rsidR="00680BEC">
        <w:rPr>
          <w:rFonts w:asciiTheme="minorHAnsi" w:hAnsiTheme="minorHAnsi"/>
          <w:bCs/>
          <w:lang w:eastAsia="en-GB"/>
        </w:rPr>
        <w:t xml:space="preserve">or a subcommittee thereof, </w:t>
      </w:r>
      <w:r w:rsidR="00C567C3" w:rsidRPr="006B7984">
        <w:rPr>
          <w:rFonts w:asciiTheme="minorHAnsi" w:hAnsiTheme="minorHAnsi"/>
          <w:bCs/>
          <w:lang w:eastAsia="en-GB"/>
        </w:rPr>
        <w:t>will allocate monies raised by the port levy scheme</w:t>
      </w:r>
      <w:r w:rsidR="00EF740A">
        <w:rPr>
          <w:rFonts w:asciiTheme="minorHAnsi" w:hAnsiTheme="minorHAnsi"/>
          <w:bCs/>
          <w:lang w:eastAsia="en-GB"/>
        </w:rPr>
        <w:t>,</w:t>
      </w:r>
      <w:r w:rsidR="00C567C3" w:rsidRPr="006B7984">
        <w:rPr>
          <w:rFonts w:asciiTheme="minorHAnsi" w:hAnsiTheme="minorHAnsi"/>
          <w:bCs/>
          <w:lang w:eastAsia="en-GB"/>
        </w:rPr>
        <w:t xml:space="preserve"> </w:t>
      </w:r>
      <w:r w:rsidR="00EF740A">
        <w:rPr>
          <w:rFonts w:asciiTheme="minorHAnsi" w:hAnsiTheme="minorHAnsi"/>
          <w:bCs/>
          <w:lang w:eastAsia="en-GB"/>
        </w:rPr>
        <w:t xml:space="preserve">for distribution </w:t>
      </w:r>
      <w:r w:rsidR="00C567C3" w:rsidRPr="006B7984">
        <w:rPr>
          <w:rFonts w:asciiTheme="minorHAnsi" w:hAnsiTheme="minorHAnsi"/>
          <w:bCs/>
          <w:lang w:eastAsia="en-GB"/>
        </w:rPr>
        <w:t>with responsibilities to:</w:t>
      </w:r>
    </w:p>
    <w:p w14:paraId="30658FD4" w14:textId="77777777" w:rsidR="00E26CA9" w:rsidRPr="006B7984" w:rsidRDefault="00E26CA9" w:rsidP="003F7DAE">
      <w:pPr>
        <w:jc w:val="both"/>
        <w:rPr>
          <w:rFonts w:asciiTheme="minorHAnsi" w:hAnsiTheme="minorHAnsi"/>
          <w:bCs/>
          <w:lang w:eastAsia="en-GB"/>
        </w:rPr>
      </w:pPr>
    </w:p>
    <w:p w14:paraId="434B8D22" w14:textId="77777777" w:rsidR="00CB1889" w:rsidRPr="006B7984" w:rsidRDefault="004534D0" w:rsidP="003F7DAE">
      <w:pPr>
        <w:pStyle w:val="ListParagraph"/>
        <w:numPr>
          <w:ilvl w:val="0"/>
          <w:numId w:val="7"/>
        </w:numPr>
        <w:ind w:left="709" w:hanging="709"/>
        <w:jc w:val="both"/>
        <w:rPr>
          <w:rFonts w:asciiTheme="minorHAnsi" w:hAnsiTheme="minorHAnsi"/>
          <w:bCs/>
          <w:lang w:eastAsia="en-GB"/>
        </w:rPr>
      </w:pPr>
      <w:r w:rsidRPr="006B7984">
        <w:rPr>
          <w:rFonts w:asciiTheme="minorHAnsi" w:hAnsiTheme="minorHAnsi"/>
          <w:bCs/>
          <w:lang w:eastAsia="en-GB"/>
        </w:rPr>
        <w:t>Mutually a</w:t>
      </w:r>
      <w:r w:rsidR="00CB1889" w:rsidRPr="006B7984">
        <w:rPr>
          <w:rFonts w:asciiTheme="minorHAnsi" w:hAnsiTheme="minorHAnsi"/>
          <w:bCs/>
          <w:lang w:eastAsia="en-GB"/>
        </w:rPr>
        <w:t>gree a</w:t>
      </w:r>
      <w:r w:rsidR="008B42C8">
        <w:rPr>
          <w:rFonts w:asciiTheme="minorHAnsi" w:hAnsiTheme="minorHAnsi"/>
          <w:bCs/>
          <w:lang w:eastAsia="en-GB"/>
        </w:rPr>
        <w:t xml:space="preserve">n appropriate </w:t>
      </w:r>
      <w:r w:rsidR="00CB1889" w:rsidRPr="006B7984">
        <w:rPr>
          <w:rFonts w:asciiTheme="minorHAnsi" w:hAnsiTheme="minorHAnsi"/>
          <w:bCs/>
          <w:lang w:eastAsia="en-GB"/>
        </w:rPr>
        <w:t xml:space="preserve">sum to be </w:t>
      </w:r>
      <w:r w:rsidRPr="006B7984">
        <w:rPr>
          <w:rFonts w:asciiTheme="minorHAnsi" w:hAnsiTheme="minorHAnsi"/>
          <w:bCs/>
          <w:lang w:eastAsia="en-GB"/>
        </w:rPr>
        <w:t xml:space="preserve">retained and </w:t>
      </w:r>
      <w:r w:rsidR="00CB1889" w:rsidRPr="006B7984">
        <w:rPr>
          <w:rFonts w:asciiTheme="minorHAnsi" w:hAnsiTheme="minorHAnsi"/>
          <w:bCs/>
          <w:lang w:eastAsia="en-GB"/>
        </w:rPr>
        <w:t>used as an emergency</w:t>
      </w:r>
      <w:r w:rsidR="001E5F59" w:rsidRPr="006B7984">
        <w:rPr>
          <w:rFonts w:asciiTheme="minorHAnsi" w:hAnsiTheme="minorHAnsi"/>
          <w:bCs/>
          <w:lang w:eastAsia="en-GB"/>
        </w:rPr>
        <w:t xml:space="preserve"> </w:t>
      </w:r>
      <w:r w:rsidR="00CB1889" w:rsidRPr="006B7984">
        <w:rPr>
          <w:rFonts w:asciiTheme="minorHAnsi" w:hAnsiTheme="minorHAnsi"/>
          <w:bCs/>
          <w:lang w:eastAsia="en-GB"/>
        </w:rPr>
        <w:t>fund</w:t>
      </w:r>
      <w:r w:rsidR="00C567C3" w:rsidRPr="006B7984">
        <w:rPr>
          <w:rFonts w:asciiTheme="minorHAnsi" w:hAnsiTheme="minorHAnsi"/>
          <w:bCs/>
          <w:lang w:eastAsia="en-GB"/>
        </w:rPr>
        <w:t>.</w:t>
      </w:r>
    </w:p>
    <w:p w14:paraId="44723861" w14:textId="77777777" w:rsidR="00E26CA9" w:rsidRPr="006B7984" w:rsidRDefault="004534D0" w:rsidP="003F7DAE">
      <w:pPr>
        <w:pStyle w:val="ListParagraph"/>
        <w:numPr>
          <w:ilvl w:val="0"/>
          <w:numId w:val="7"/>
        </w:numPr>
        <w:ind w:left="709" w:hanging="709"/>
        <w:jc w:val="both"/>
        <w:rPr>
          <w:rFonts w:asciiTheme="minorHAnsi" w:hAnsiTheme="minorHAnsi"/>
          <w:bCs/>
          <w:lang w:eastAsia="en-GB"/>
        </w:rPr>
      </w:pPr>
      <w:r w:rsidRPr="006B7984">
        <w:rPr>
          <w:rFonts w:asciiTheme="minorHAnsi" w:hAnsiTheme="minorHAnsi"/>
          <w:bCs/>
          <w:lang w:eastAsia="en-GB"/>
        </w:rPr>
        <w:t>Mutually a</w:t>
      </w:r>
      <w:r w:rsidR="00E26CA9" w:rsidRPr="006B7984">
        <w:rPr>
          <w:rFonts w:asciiTheme="minorHAnsi" w:hAnsiTheme="minorHAnsi"/>
          <w:bCs/>
          <w:lang w:eastAsia="en-GB"/>
        </w:rPr>
        <w:t xml:space="preserve">gree and regularly review </w:t>
      </w:r>
      <w:r w:rsidR="00CB1889" w:rsidRPr="006B7984">
        <w:rPr>
          <w:rFonts w:asciiTheme="minorHAnsi" w:hAnsiTheme="minorHAnsi"/>
          <w:bCs/>
          <w:lang w:eastAsia="en-GB"/>
        </w:rPr>
        <w:t xml:space="preserve">the </w:t>
      </w:r>
      <w:r w:rsidR="00C567C3" w:rsidRPr="006B7984">
        <w:rPr>
          <w:rFonts w:asciiTheme="minorHAnsi" w:hAnsiTheme="minorHAnsi"/>
          <w:bCs/>
          <w:lang w:eastAsia="en-GB"/>
        </w:rPr>
        <w:t xml:space="preserve">distribution </w:t>
      </w:r>
      <w:r w:rsidR="00E26CA9" w:rsidRPr="006B7984">
        <w:rPr>
          <w:rFonts w:asciiTheme="minorHAnsi" w:hAnsiTheme="minorHAnsi"/>
          <w:bCs/>
          <w:lang w:eastAsia="en-GB"/>
        </w:rPr>
        <w:t xml:space="preserve">formula </w:t>
      </w:r>
      <w:r w:rsidR="00CB1889" w:rsidRPr="006B7984">
        <w:rPr>
          <w:rFonts w:asciiTheme="minorHAnsi" w:hAnsiTheme="minorHAnsi"/>
          <w:bCs/>
          <w:lang w:eastAsia="en-GB"/>
        </w:rPr>
        <w:t xml:space="preserve">to ensure </w:t>
      </w:r>
      <w:r w:rsidR="00E26CA9" w:rsidRPr="006B7984">
        <w:rPr>
          <w:rFonts w:asciiTheme="minorHAnsi" w:hAnsiTheme="minorHAnsi"/>
          <w:bCs/>
          <w:lang w:eastAsia="en-GB"/>
        </w:rPr>
        <w:t>a fair and equitable apportionment of funds.</w:t>
      </w:r>
    </w:p>
    <w:p w14:paraId="6CE9B1B5" w14:textId="77777777" w:rsidR="00E26CA9" w:rsidRPr="006B7984" w:rsidRDefault="004534D0" w:rsidP="003F7DAE">
      <w:pPr>
        <w:pStyle w:val="ListParagraph"/>
        <w:numPr>
          <w:ilvl w:val="0"/>
          <w:numId w:val="7"/>
        </w:numPr>
        <w:ind w:left="709" w:hanging="709"/>
        <w:jc w:val="both"/>
        <w:rPr>
          <w:rFonts w:asciiTheme="minorHAnsi" w:hAnsiTheme="minorHAnsi"/>
          <w:bCs/>
          <w:lang w:eastAsia="en-GB"/>
        </w:rPr>
      </w:pPr>
      <w:r w:rsidRPr="006B7984">
        <w:rPr>
          <w:rFonts w:asciiTheme="minorHAnsi" w:hAnsiTheme="minorHAnsi"/>
          <w:bCs/>
          <w:lang w:eastAsia="en-GB"/>
        </w:rPr>
        <w:t>Mutually a</w:t>
      </w:r>
      <w:r w:rsidR="00CB1889" w:rsidRPr="006B7984">
        <w:rPr>
          <w:rFonts w:asciiTheme="minorHAnsi" w:hAnsiTheme="minorHAnsi"/>
          <w:bCs/>
          <w:lang w:eastAsia="en-GB"/>
        </w:rPr>
        <w:t>gree</w:t>
      </w:r>
      <w:r w:rsidR="00E26CA9" w:rsidRPr="006B7984">
        <w:rPr>
          <w:rFonts w:asciiTheme="minorHAnsi" w:hAnsiTheme="minorHAnsi"/>
          <w:bCs/>
          <w:lang w:eastAsia="en-GB"/>
        </w:rPr>
        <w:t xml:space="preserve"> the distribution </w:t>
      </w:r>
      <w:r w:rsidR="00C567C3" w:rsidRPr="006B7984">
        <w:rPr>
          <w:rFonts w:asciiTheme="minorHAnsi" w:hAnsiTheme="minorHAnsi"/>
          <w:bCs/>
          <w:lang w:eastAsia="en-GB"/>
        </w:rPr>
        <w:t xml:space="preserve">and apportionment </w:t>
      </w:r>
      <w:r w:rsidR="00E26CA9" w:rsidRPr="006B7984">
        <w:rPr>
          <w:rFonts w:asciiTheme="minorHAnsi" w:hAnsiTheme="minorHAnsi"/>
          <w:bCs/>
          <w:lang w:eastAsia="en-GB"/>
        </w:rPr>
        <w:t xml:space="preserve">of all </w:t>
      </w:r>
      <w:r w:rsidR="00C567C3" w:rsidRPr="006B7984">
        <w:rPr>
          <w:rFonts w:asciiTheme="minorHAnsi" w:hAnsiTheme="minorHAnsi"/>
          <w:bCs/>
          <w:lang w:eastAsia="en-GB"/>
        </w:rPr>
        <w:t xml:space="preserve">port levy </w:t>
      </w:r>
      <w:r w:rsidR="00E26CA9" w:rsidRPr="006B7984">
        <w:rPr>
          <w:rFonts w:asciiTheme="minorHAnsi" w:hAnsiTheme="minorHAnsi"/>
          <w:bCs/>
          <w:lang w:eastAsia="en-GB"/>
        </w:rPr>
        <w:t>f</w:t>
      </w:r>
      <w:r w:rsidR="00B7749B" w:rsidRPr="006B7984">
        <w:rPr>
          <w:rFonts w:asciiTheme="minorHAnsi" w:hAnsiTheme="minorHAnsi"/>
          <w:bCs/>
          <w:lang w:eastAsia="en-GB"/>
        </w:rPr>
        <w:t>unds</w:t>
      </w:r>
      <w:r w:rsidR="00E26CA9" w:rsidRPr="006B7984">
        <w:rPr>
          <w:rFonts w:asciiTheme="minorHAnsi" w:hAnsiTheme="minorHAnsi"/>
          <w:bCs/>
          <w:lang w:eastAsia="en-GB"/>
        </w:rPr>
        <w:t xml:space="preserve"> </w:t>
      </w:r>
      <w:r w:rsidR="00C567C3" w:rsidRPr="006B7984">
        <w:rPr>
          <w:rFonts w:asciiTheme="minorHAnsi" w:hAnsiTheme="minorHAnsi"/>
          <w:bCs/>
          <w:lang w:eastAsia="en-GB"/>
        </w:rPr>
        <w:t>at the</w:t>
      </w:r>
      <w:r w:rsidR="001E5F59" w:rsidRPr="006B7984">
        <w:rPr>
          <w:rFonts w:asciiTheme="minorHAnsi" w:hAnsiTheme="minorHAnsi"/>
          <w:bCs/>
          <w:lang w:eastAsia="en-GB"/>
        </w:rPr>
        <w:t>ir</w:t>
      </w:r>
      <w:r w:rsidR="00C567C3" w:rsidRPr="006B7984">
        <w:rPr>
          <w:rFonts w:asciiTheme="minorHAnsi" w:hAnsiTheme="minorHAnsi"/>
          <w:bCs/>
          <w:lang w:eastAsia="en-GB"/>
        </w:rPr>
        <w:t xml:space="preserve"> </w:t>
      </w:r>
      <w:r w:rsidR="004F6A8B">
        <w:rPr>
          <w:rFonts w:asciiTheme="minorHAnsi" w:hAnsiTheme="minorHAnsi"/>
          <w:bCs/>
          <w:lang w:eastAsia="en-GB"/>
        </w:rPr>
        <w:t xml:space="preserve">meetings </w:t>
      </w:r>
      <w:r w:rsidRPr="006B7984">
        <w:rPr>
          <w:rFonts w:asciiTheme="minorHAnsi" w:hAnsiTheme="minorHAnsi"/>
          <w:bCs/>
          <w:lang w:eastAsia="en-GB"/>
        </w:rPr>
        <w:t>at which a member of the Port Authority should be present</w:t>
      </w:r>
      <w:r w:rsidR="00C567C3" w:rsidRPr="006B7984">
        <w:rPr>
          <w:rFonts w:asciiTheme="minorHAnsi" w:hAnsiTheme="minorHAnsi"/>
          <w:bCs/>
          <w:lang w:eastAsia="en-GB"/>
        </w:rPr>
        <w:t>.</w:t>
      </w:r>
    </w:p>
    <w:p w14:paraId="5C53701A" w14:textId="77777777" w:rsidR="001E5F59" w:rsidRPr="006B7984" w:rsidRDefault="00C567C3" w:rsidP="003F7DAE">
      <w:pPr>
        <w:pStyle w:val="ListParagraph"/>
        <w:numPr>
          <w:ilvl w:val="0"/>
          <w:numId w:val="7"/>
        </w:numPr>
        <w:ind w:left="709" w:hanging="709"/>
        <w:jc w:val="both"/>
        <w:rPr>
          <w:rFonts w:asciiTheme="minorHAnsi" w:hAnsiTheme="minorHAnsi"/>
          <w:bCs/>
          <w:lang w:eastAsia="en-GB"/>
        </w:rPr>
      </w:pPr>
      <w:r w:rsidRPr="006B7984">
        <w:rPr>
          <w:rFonts w:asciiTheme="minorHAnsi" w:hAnsiTheme="minorHAnsi"/>
          <w:bCs/>
          <w:lang w:eastAsia="en-GB"/>
        </w:rPr>
        <w:t xml:space="preserve">Regularly </w:t>
      </w:r>
      <w:r w:rsidR="00AE6E8A" w:rsidRPr="006B7984">
        <w:rPr>
          <w:rFonts w:asciiTheme="minorHAnsi" w:hAnsiTheme="minorHAnsi"/>
          <w:bCs/>
          <w:lang w:eastAsia="en-GB"/>
        </w:rPr>
        <w:t>review</w:t>
      </w:r>
      <w:r w:rsidRPr="006B7984">
        <w:rPr>
          <w:rFonts w:asciiTheme="minorHAnsi" w:hAnsiTheme="minorHAnsi"/>
          <w:bCs/>
          <w:lang w:eastAsia="en-GB"/>
        </w:rPr>
        <w:t xml:space="preserve"> </w:t>
      </w:r>
      <w:r w:rsidR="00AE6E8A" w:rsidRPr="006B7984">
        <w:rPr>
          <w:rFonts w:asciiTheme="minorHAnsi" w:hAnsiTheme="minorHAnsi"/>
          <w:bCs/>
          <w:lang w:eastAsia="en-GB"/>
        </w:rPr>
        <w:t>the</w:t>
      </w:r>
      <w:r w:rsidR="00B7749B" w:rsidRPr="006B7984">
        <w:rPr>
          <w:rFonts w:asciiTheme="minorHAnsi" w:hAnsiTheme="minorHAnsi"/>
          <w:bCs/>
          <w:lang w:eastAsia="en-GB"/>
        </w:rPr>
        <w:t xml:space="preserve"> levels</w:t>
      </w:r>
      <w:r w:rsidR="00AE6E8A" w:rsidRPr="006B7984">
        <w:rPr>
          <w:rFonts w:asciiTheme="minorHAnsi" w:hAnsiTheme="minorHAnsi"/>
          <w:bCs/>
          <w:lang w:eastAsia="en-GB"/>
        </w:rPr>
        <w:t xml:space="preserve"> </w:t>
      </w:r>
      <w:r w:rsidRPr="006B7984">
        <w:rPr>
          <w:rFonts w:asciiTheme="minorHAnsi" w:hAnsiTheme="minorHAnsi"/>
          <w:bCs/>
          <w:lang w:eastAsia="en-GB"/>
        </w:rPr>
        <w:t xml:space="preserve">of </w:t>
      </w:r>
      <w:r w:rsidR="00AE6E8A" w:rsidRPr="006B7984">
        <w:rPr>
          <w:rFonts w:asciiTheme="minorHAnsi" w:hAnsiTheme="minorHAnsi"/>
          <w:bCs/>
          <w:lang w:eastAsia="en-GB"/>
        </w:rPr>
        <w:t>local welfare provision</w:t>
      </w:r>
      <w:r w:rsidR="004F6A8B">
        <w:rPr>
          <w:rFonts w:asciiTheme="minorHAnsi" w:hAnsiTheme="minorHAnsi"/>
          <w:bCs/>
          <w:lang w:eastAsia="en-GB"/>
        </w:rPr>
        <w:t>.</w:t>
      </w:r>
    </w:p>
    <w:p w14:paraId="08007F53" w14:textId="77777777" w:rsidR="00401E60" w:rsidRPr="006B7984" w:rsidRDefault="001E5F59" w:rsidP="003F7DAE">
      <w:pPr>
        <w:pStyle w:val="ListParagraph"/>
        <w:numPr>
          <w:ilvl w:val="0"/>
          <w:numId w:val="7"/>
        </w:numPr>
        <w:ind w:left="709" w:hanging="709"/>
        <w:jc w:val="both"/>
        <w:rPr>
          <w:rFonts w:asciiTheme="minorHAnsi" w:hAnsiTheme="minorHAnsi"/>
          <w:bCs/>
          <w:lang w:eastAsia="en-GB"/>
        </w:rPr>
      </w:pPr>
      <w:r w:rsidRPr="006B7984">
        <w:rPr>
          <w:rFonts w:asciiTheme="minorHAnsi" w:hAnsiTheme="minorHAnsi"/>
          <w:bCs/>
          <w:lang w:eastAsia="en-GB"/>
        </w:rPr>
        <w:t>A</w:t>
      </w:r>
      <w:r w:rsidR="00802C46" w:rsidRPr="006B7984">
        <w:rPr>
          <w:rFonts w:asciiTheme="minorHAnsi" w:hAnsiTheme="minorHAnsi"/>
          <w:bCs/>
          <w:lang w:eastAsia="en-GB"/>
        </w:rPr>
        <w:t xml:space="preserve">dvise </w:t>
      </w:r>
      <w:r w:rsidR="00802C46" w:rsidRPr="006B7984">
        <w:rPr>
          <w:rFonts w:asciiTheme="minorHAnsi" w:eastAsia="Times New Roman" w:hAnsiTheme="minorHAnsi"/>
          <w:lang w:eastAsia="en-GB"/>
        </w:rPr>
        <w:t>the Merchant Navy Welfare Board of all agreed payments</w:t>
      </w:r>
      <w:r w:rsidR="00401E60" w:rsidRPr="006B7984">
        <w:rPr>
          <w:rFonts w:asciiTheme="minorHAnsi" w:eastAsia="Times New Roman" w:hAnsiTheme="minorHAnsi"/>
          <w:lang w:eastAsia="en-GB"/>
        </w:rPr>
        <w:t>.</w:t>
      </w:r>
    </w:p>
    <w:p w14:paraId="16213985" w14:textId="77777777" w:rsidR="00401E60" w:rsidRPr="006B7984" w:rsidRDefault="00401E60" w:rsidP="003F7DAE">
      <w:pPr>
        <w:jc w:val="both"/>
        <w:rPr>
          <w:rFonts w:asciiTheme="minorHAnsi" w:hAnsiTheme="minorHAnsi"/>
          <w:bCs/>
          <w:lang w:eastAsia="en-GB"/>
        </w:rPr>
      </w:pPr>
    </w:p>
    <w:p w14:paraId="13A856CC" w14:textId="77777777" w:rsidR="001E5F59" w:rsidRPr="006B7984" w:rsidRDefault="001E5F59" w:rsidP="003F7DAE">
      <w:pPr>
        <w:jc w:val="both"/>
        <w:rPr>
          <w:rFonts w:asciiTheme="minorHAnsi" w:hAnsiTheme="minorHAnsi"/>
          <w:b/>
          <w:bCs/>
          <w:lang w:eastAsia="en-GB"/>
        </w:rPr>
      </w:pPr>
      <w:r w:rsidRPr="006B7984">
        <w:rPr>
          <w:rFonts w:asciiTheme="minorHAnsi" w:hAnsiTheme="minorHAnsi"/>
          <w:b/>
          <w:bCs/>
          <w:lang w:eastAsia="en-GB"/>
        </w:rPr>
        <w:t>Conclusion</w:t>
      </w:r>
    </w:p>
    <w:p w14:paraId="3C167B6B" w14:textId="77777777" w:rsidR="001E5F59" w:rsidRPr="006B7984" w:rsidRDefault="001E5F59" w:rsidP="003F7DAE">
      <w:pPr>
        <w:jc w:val="both"/>
        <w:rPr>
          <w:rFonts w:asciiTheme="minorHAnsi" w:hAnsiTheme="minorHAnsi"/>
          <w:b/>
          <w:bCs/>
          <w:lang w:eastAsia="en-GB"/>
        </w:rPr>
      </w:pPr>
    </w:p>
    <w:p w14:paraId="45899143" w14:textId="77777777" w:rsidR="001E5F59" w:rsidRPr="006B7984" w:rsidRDefault="006B7984" w:rsidP="003F7DAE">
      <w:pPr>
        <w:jc w:val="both"/>
        <w:rPr>
          <w:rFonts w:asciiTheme="minorHAnsi" w:hAnsiTheme="minorHAnsi"/>
          <w:bCs/>
          <w:lang w:eastAsia="en-GB"/>
        </w:rPr>
      </w:pPr>
      <w:r w:rsidRPr="006B7984">
        <w:rPr>
          <w:rFonts w:asciiTheme="minorHAnsi" w:hAnsiTheme="minorHAnsi"/>
          <w:bCs/>
          <w:lang w:eastAsia="en-GB"/>
        </w:rPr>
        <w:t xml:space="preserve">The </w:t>
      </w:r>
      <w:r w:rsidR="004F6A8B">
        <w:rPr>
          <w:rFonts w:asciiTheme="minorHAnsi" w:hAnsiTheme="minorHAnsi"/>
          <w:bCs/>
          <w:lang w:eastAsia="en-GB"/>
        </w:rPr>
        <w:t xml:space="preserve">new </w:t>
      </w:r>
      <w:r w:rsidRPr="006B7984">
        <w:rPr>
          <w:rFonts w:asciiTheme="minorHAnsi" w:hAnsiTheme="minorHAnsi"/>
          <w:bCs/>
          <w:lang w:eastAsia="en-GB"/>
        </w:rPr>
        <w:t>Port Levy S</w:t>
      </w:r>
      <w:r w:rsidR="001E5F59" w:rsidRPr="006B7984">
        <w:rPr>
          <w:rFonts w:asciiTheme="minorHAnsi" w:hAnsiTheme="minorHAnsi"/>
          <w:bCs/>
          <w:lang w:eastAsia="en-GB"/>
        </w:rPr>
        <w:t xml:space="preserve">cheme has been established to </w:t>
      </w:r>
      <w:r w:rsidR="00854DA6" w:rsidRPr="006B7984">
        <w:rPr>
          <w:rFonts w:asciiTheme="minorHAnsi" w:hAnsiTheme="minorHAnsi"/>
          <w:bCs/>
          <w:lang w:eastAsia="en-GB"/>
        </w:rPr>
        <w:t>maintain</w:t>
      </w:r>
      <w:r w:rsidR="001E5F59" w:rsidRPr="006B7984">
        <w:rPr>
          <w:rFonts w:asciiTheme="minorHAnsi" w:hAnsiTheme="minorHAnsi"/>
          <w:bCs/>
          <w:lang w:eastAsia="en-GB"/>
        </w:rPr>
        <w:t xml:space="preserve"> and improve port welfare facilities for visiting seafarers. </w:t>
      </w:r>
      <w:r w:rsidR="00DF1843">
        <w:rPr>
          <w:rFonts w:asciiTheme="minorHAnsi" w:hAnsiTheme="minorHAnsi"/>
          <w:bCs/>
          <w:lang w:eastAsia="en-GB"/>
        </w:rPr>
        <w:t xml:space="preserve">To that end, </w:t>
      </w:r>
      <w:r w:rsidR="00037C60" w:rsidRPr="006B7984">
        <w:rPr>
          <w:rFonts w:asciiTheme="minorHAnsi" w:hAnsiTheme="minorHAnsi"/>
          <w:bCs/>
          <w:lang w:eastAsia="en-GB"/>
        </w:rPr>
        <w:t xml:space="preserve">all welfare organisations are encouraged to proactively support the initiative and work </w:t>
      </w:r>
      <w:r w:rsidR="004534D0" w:rsidRPr="006B7984">
        <w:rPr>
          <w:rFonts w:asciiTheme="minorHAnsi" w:hAnsiTheme="minorHAnsi"/>
          <w:bCs/>
          <w:lang w:eastAsia="en-GB"/>
        </w:rPr>
        <w:t xml:space="preserve">even </w:t>
      </w:r>
      <w:r w:rsidR="00037C60" w:rsidRPr="006B7984">
        <w:rPr>
          <w:rFonts w:asciiTheme="minorHAnsi" w:hAnsiTheme="minorHAnsi"/>
          <w:bCs/>
          <w:lang w:eastAsia="en-GB"/>
        </w:rPr>
        <w:t>close</w:t>
      </w:r>
      <w:r w:rsidR="004534D0" w:rsidRPr="006B7984">
        <w:rPr>
          <w:rFonts w:asciiTheme="minorHAnsi" w:hAnsiTheme="minorHAnsi"/>
          <w:bCs/>
          <w:lang w:eastAsia="en-GB"/>
        </w:rPr>
        <w:t>r</w:t>
      </w:r>
      <w:r w:rsidR="00037C60" w:rsidRPr="006B7984">
        <w:rPr>
          <w:rFonts w:asciiTheme="minorHAnsi" w:hAnsiTheme="minorHAnsi"/>
          <w:bCs/>
          <w:lang w:eastAsia="en-GB"/>
        </w:rPr>
        <w:t xml:space="preserve"> together to </w:t>
      </w:r>
      <w:r w:rsidR="004534D0" w:rsidRPr="006B7984">
        <w:rPr>
          <w:rFonts w:asciiTheme="minorHAnsi" w:hAnsiTheme="minorHAnsi"/>
          <w:bCs/>
          <w:lang w:eastAsia="en-GB"/>
        </w:rPr>
        <w:t xml:space="preserve">ensure </w:t>
      </w:r>
      <w:r w:rsidR="00037C60" w:rsidRPr="006B7984">
        <w:rPr>
          <w:rFonts w:asciiTheme="minorHAnsi" w:hAnsiTheme="minorHAnsi"/>
          <w:bCs/>
          <w:lang w:eastAsia="en-GB"/>
        </w:rPr>
        <w:t xml:space="preserve">seafarers </w:t>
      </w:r>
      <w:r w:rsidR="004534D0" w:rsidRPr="006B7984">
        <w:rPr>
          <w:rFonts w:asciiTheme="minorHAnsi" w:hAnsiTheme="minorHAnsi"/>
          <w:bCs/>
          <w:lang w:eastAsia="en-GB"/>
        </w:rPr>
        <w:t xml:space="preserve">gain maximum benefit from their visit to the port and access </w:t>
      </w:r>
      <w:r w:rsidR="00037C60" w:rsidRPr="006B7984">
        <w:rPr>
          <w:rFonts w:asciiTheme="minorHAnsi" w:hAnsiTheme="minorHAnsi"/>
          <w:bCs/>
          <w:lang w:eastAsia="en-GB"/>
        </w:rPr>
        <w:t>the best possible welfare services.</w:t>
      </w:r>
    </w:p>
    <w:p w14:paraId="49968591" w14:textId="77777777" w:rsidR="00037C60" w:rsidRPr="006B7984" w:rsidRDefault="00037C60" w:rsidP="003F7DAE">
      <w:pPr>
        <w:jc w:val="both"/>
        <w:rPr>
          <w:rFonts w:asciiTheme="minorHAnsi" w:hAnsiTheme="minorHAnsi"/>
          <w:bCs/>
          <w:lang w:eastAsia="en-GB"/>
        </w:rPr>
      </w:pPr>
    </w:p>
    <w:p w14:paraId="2E8ED76E" w14:textId="77777777" w:rsidR="004F6A8B" w:rsidRDefault="00037C60" w:rsidP="003F7DAE">
      <w:pPr>
        <w:jc w:val="both"/>
        <w:rPr>
          <w:rFonts w:asciiTheme="minorHAnsi" w:hAnsiTheme="minorHAnsi"/>
          <w:bCs/>
          <w:lang w:eastAsia="en-GB"/>
        </w:rPr>
      </w:pPr>
      <w:r w:rsidRPr="006B7984">
        <w:rPr>
          <w:rFonts w:asciiTheme="minorHAnsi" w:hAnsiTheme="minorHAnsi"/>
          <w:bCs/>
          <w:lang w:eastAsia="en-GB"/>
        </w:rPr>
        <w:t xml:space="preserve">The Port </w:t>
      </w:r>
      <w:r w:rsidR="004F6A8B">
        <w:rPr>
          <w:rFonts w:asciiTheme="minorHAnsi" w:hAnsiTheme="minorHAnsi"/>
          <w:bCs/>
          <w:lang w:eastAsia="en-GB"/>
        </w:rPr>
        <w:t xml:space="preserve">Authority </w:t>
      </w:r>
      <w:r w:rsidRPr="006B7984">
        <w:rPr>
          <w:rFonts w:asciiTheme="minorHAnsi" w:hAnsiTheme="minorHAnsi"/>
          <w:bCs/>
          <w:lang w:eastAsia="en-GB"/>
        </w:rPr>
        <w:t xml:space="preserve">reserves the right to </w:t>
      </w:r>
      <w:r w:rsidR="004534D0" w:rsidRPr="006B7984">
        <w:rPr>
          <w:rFonts w:asciiTheme="minorHAnsi" w:hAnsiTheme="minorHAnsi"/>
          <w:bCs/>
          <w:lang w:eastAsia="en-GB"/>
        </w:rPr>
        <w:t>withdraw the port levy scheme at any time and</w:t>
      </w:r>
      <w:r w:rsidR="006B7984" w:rsidRPr="006B7984">
        <w:rPr>
          <w:rFonts w:asciiTheme="minorHAnsi" w:hAnsiTheme="minorHAnsi"/>
          <w:bCs/>
          <w:lang w:eastAsia="en-GB"/>
        </w:rPr>
        <w:t>,</w:t>
      </w:r>
      <w:r w:rsidR="004534D0" w:rsidRPr="006B7984">
        <w:rPr>
          <w:rFonts w:asciiTheme="minorHAnsi" w:hAnsiTheme="minorHAnsi"/>
          <w:bCs/>
          <w:lang w:eastAsia="en-GB"/>
        </w:rPr>
        <w:t xml:space="preserve"> also </w:t>
      </w:r>
      <w:r w:rsidR="00854DA6" w:rsidRPr="006B7984">
        <w:rPr>
          <w:rFonts w:asciiTheme="minorHAnsi" w:hAnsiTheme="minorHAnsi"/>
          <w:bCs/>
          <w:lang w:eastAsia="en-GB"/>
        </w:rPr>
        <w:t>veto levy allocations to any welfare individual or organisation</w:t>
      </w:r>
      <w:r w:rsidR="004534D0" w:rsidRPr="006B7984">
        <w:rPr>
          <w:rFonts w:asciiTheme="minorHAnsi" w:hAnsiTheme="minorHAnsi"/>
          <w:bCs/>
          <w:lang w:eastAsia="en-GB"/>
        </w:rPr>
        <w:t xml:space="preserve"> that threatens to bring the </w:t>
      </w:r>
      <w:r w:rsidR="00854DA6" w:rsidRPr="006B7984">
        <w:rPr>
          <w:rFonts w:asciiTheme="minorHAnsi" w:hAnsiTheme="minorHAnsi"/>
          <w:bCs/>
          <w:lang w:eastAsia="en-GB"/>
        </w:rPr>
        <w:t xml:space="preserve">reputation of the port or other </w:t>
      </w:r>
      <w:r w:rsidR="004534D0" w:rsidRPr="006B7984">
        <w:rPr>
          <w:rFonts w:asciiTheme="minorHAnsi" w:hAnsiTheme="minorHAnsi"/>
          <w:bCs/>
          <w:lang w:eastAsia="en-GB"/>
        </w:rPr>
        <w:t>seafarers’</w:t>
      </w:r>
      <w:r w:rsidR="00854DA6" w:rsidRPr="006B7984">
        <w:rPr>
          <w:rFonts w:asciiTheme="minorHAnsi" w:hAnsiTheme="minorHAnsi"/>
          <w:bCs/>
          <w:lang w:eastAsia="en-GB"/>
        </w:rPr>
        <w:t xml:space="preserve"> welfare organisations, into disrepute</w:t>
      </w:r>
      <w:r w:rsidR="004534D0" w:rsidRPr="006B7984">
        <w:rPr>
          <w:rFonts w:asciiTheme="minorHAnsi" w:hAnsiTheme="minorHAnsi"/>
          <w:bCs/>
          <w:lang w:eastAsia="en-GB"/>
        </w:rPr>
        <w:t>.</w:t>
      </w:r>
      <w:r w:rsidR="00743462">
        <w:rPr>
          <w:rFonts w:asciiTheme="minorHAnsi" w:hAnsiTheme="minorHAnsi"/>
          <w:bCs/>
          <w:lang w:eastAsia="en-GB"/>
        </w:rPr>
        <w:t xml:space="preserve"> </w:t>
      </w:r>
    </w:p>
    <w:p w14:paraId="38EB62F0" w14:textId="77777777" w:rsidR="00666940" w:rsidRDefault="00666940" w:rsidP="004F6A8B">
      <w:pPr>
        <w:jc w:val="right"/>
        <w:rPr>
          <w:rFonts w:asciiTheme="minorHAnsi" w:hAnsiTheme="minorHAnsi"/>
          <w:bCs/>
          <w:lang w:eastAsia="en-GB"/>
        </w:rPr>
      </w:pPr>
      <w:r w:rsidRPr="004F6A8B">
        <w:rPr>
          <w:rFonts w:asciiTheme="minorHAnsi" w:hAnsiTheme="minorHAnsi"/>
          <w:b/>
          <w:bCs/>
          <w:lang w:eastAsia="en-GB"/>
        </w:rPr>
        <w:t>End</w:t>
      </w:r>
    </w:p>
    <w:p w14:paraId="393F7212" w14:textId="77777777" w:rsidR="009C78A9" w:rsidRDefault="009C78A9" w:rsidP="003F7DAE">
      <w:pPr>
        <w:jc w:val="both"/>
        <w:rPr>
          <w:rFonts w:asciiTheme="minorHAnsi" w:hAnsiTheme="minorHAnsi"/>
          <w:bCs/>
          <w:lang w:eastAsia="en-GB"/>
        </w:rPr>
      </w:pPr>
    </w:p>
    <w:p w14:paraId="5207F10F" w14:textId="77777777" w:rsidR="009C78A9" w:rsidRDefault="009C78A9" w:rsidP="003F7DAE">
      <w:pPr>
        <w:jc w:val="both"/>
        <w:rPr>
          <w:rFonts w:asciiTheme="minorHAnsi" w:hAnsiTheme="minorHAnsi"/>
          <w:bCs/>
          <w:lang w:eastAsia="en-GB"/>
        </w:rPr>
      </w:pPr>
    </w:p>
    <w:p w14:paraId="15B7A218" w14:textId="77777777" w:rsidR="008B42C8" w:rsidRDefault="008B42C8" w:rsidP="003F7DAE">
      <w:pPr>
        <w:jc w:val="both"/>
        <w:rPr>
          <w:rFonts w:asciiTheme="minorHAnsi" w:hAnsiTheme="minorHAnsi"/>
          <w:bCs/>
          <w:lang w:eastAsia="en-GB"/>
        </w:rPr>
      </w:pPr>
    </w:p>
    <w:p w14:paraId="40D23DCC" w14:textId="77777777" w:rsidR="009C78A9" w:rsidRPr="009C78A9" w:rsidRDefault="009C78A9" w:rsidP="009C78A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6"/>
        </w:rPr>
      </w:pPr>
      <w:r w:rsidRPr="009C78A9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ab/>
      </w:r>
      <w:r w:rsidRPr="009C78A9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ab/>
      </w:r>
      <w:r w:rsidRPr="009C78A9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ab/>
      </w:r>
      <w:r w:rsidRPr="009C78A9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ab/>
      </w:r>
      <w:r w:rsidRPr="009C78A9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ab/>
      </w:r>
      <w:r w:rsidRPr="009C78A9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ab/>
      </w:r>
      <w:r w:rsidRPr="009C78A9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ab/>
      </w:r>
    </w:p>
    <w:p w14:paraId="5C999519" w14:textId="77777777" w:rsidR="009C78A9" w:rsidRPr="009C78A9" w:rsidRDefault="004F6A8B" w:rsidP="009C78A9">
      <w:pPr>
        <w:jc w:val="center"/>
        <w:rPr>
          <w:rFonts w:ascii="Times New Roman" w:eastAsia="Times New Roman" w:hAnsi="Times New Roman" w:cs="Arial Unicode MS"/>
          <w:color w:val="000000"/>
          <w:sz w:val="24"/>
          <w:szCs w:val="26"/>
        </w:rPr>
      </w:pPr>
      <w:r>
        <w:rPr>
          <w:rFonts w:ascii="Times New Roman" w:eastAsia="Times New Roman" w:hAnsi="Times New Roman" w:cs="Arial Unicode MS"/>
          <w:noProof/>
          <w:color w:val="000000"/>
          <w:sz w:val="24"/>
          <w:szCs w:val="26"/>
          <w:lang w:val="en-US"/>
        </w:rPr>
        <w:drawing>
          <wp:inline distT="0" distB="0" distL="0" distR="0" wp14:anchorId="7DE7C778" wp14:editId="3FDC3A22">
            <wp:extent cx="981710" cy="1097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9BFB2" w14:textId="77777777" w:rsidR="009C78A9" w:rsidRPr="009C78A9" w:rsidRDefault="009C78A9" w:rsidP="009C78A9">
      <w:pPr>
        <w:jc w:val="center"/>
        <w:rPr>
          <w:rFonts w:ascii="Times New Roman" w:eastAsia="Times New Roman" w:hAnsi="Times New Roman" w:cs="Arial Unicode MS"/>
          <w:color w:val="000000"/>
          <w:sz w:val="24"/>
          <w:szCs w:val="26"/>
        </w:rPr>
      </w:pPr>
    </w:p>
    <w:p w14:paraId="2A3BBA73" w14:textId="77777777" w:rsidR="009C78A9" w:rsidRPr="009C78A9" w:rsidRDefault="009C78A9" w:rsidP="009C78A9">
      <w:pPr>
        <w:keepNext/>
        <w:ind w:right="-655"/>
        <w:outlineLvl w:val="1"/>
        <w:rPr>
          <w:rFonts w:ascii="Times New Roman" w:eastAsia="Times New Roman" w:hAnsi="Times New Roman"/>
          <w:b/>
          <w:sz w:val="26"/>
          <w:szCs w:val="20"/>
        </w:rPr>
      </w:pPr>
    </w:p>
    <w:p w14:paraId="506C9CC0" w14:textId="77777777" w:rsidR="009C78A9" w:rsidRPr="009C78A9" w:rsidRDefault="009C78A9" w:rsidP="009C78A9">
      <w:pPr>
        <w:rPr>
          <w:rFonts w:ascii="Times New Roman" w:eastAsia="Times New Roman" w:hAnsi="Times New Roman" w:cs="Arial Unicode MS"/>
          <w:color w:val="000000"/>
          <w:sz w:val="24"/>
          <w:szCs w:val="26"/>
        </w:rPr>
      </w:pPr>
    </w:p>
    <w:p w14:paraId="71C65CD2" w14:textId="77777777" w:rsidR="009C78A9" w:rsidRPr="009C78A9" w:rsidRDefault="004F6A8B" w:rsidP="009C78A9">
      <w:pPr>
        <w:keepNext/>
        <w:ind w:left="-630" w:right="-655"/>
        <w:jc w:val="center"/>
        <w:outlineLvl w:val="1"/>
        <w:rPr>
          <w:rFonts w:ascii="Arial" w:eastAsia="Times New Roman" w:hAnsi="Arial" w:cs="Arial"/>
          <w:b/>
          <w:sz w:val="26"/>
          <w:szCs w:val="20"/>
        </w:rPr>
      </w:pPr>
      <w:r>
        <w:rPr>
          <w:rFonts w:ascii="Arial" w:eastAsia="Times New Roman" w:hAnsi="Arial" w:cs="Arial"/>
          <w:b/>
          <w:sz w:val="26"/>
          <w:szCs w:val="20"/>
        </w:rPr>
        <w:t xml:space="preserve">……………………….   </w:t>
      </w:r>
      <w:r w:rsidR="009C78A9" w:rsidRPr="009C78A9">
        <w:rPr>
          <w:rFonts w:ascii="Arial" w:eastAsia="Times New Roman" w:hAnsi="Arial" w:cs="Arial"/>
          <w:b/>
          <w:sz w:val="26"/>
          <w:szCs w:val="20"/>
        </w:rPr>
        <w:t>PORT LEVY SCHEME GRANT APPLICATION FORM</w:t>
      </w:r>
    </w:p>
    <w:p w14:paraId="61E3D3C8" w14:textId="77777777" w:rsidR="009C78A9" w:rsidRPr="009C78A9" w:rsidRDefault="009C78A9" w:rsidP="009C78A9">
      <w:pPr>
        <w:rPr>
          <w:rFonts w:ascii="Times New Roman" w:eastAsia="Times New Roman" w:hAnsi="Times New Roman" w:cs="Arial Unicode MS"/>
          <w:color w:val="000000"/>
          <w:sz w:val="24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1E0" w:firstRow="1" w:lastRow="1" w:firstColumn="1" w:lastColumn="1" w:noHBand="0" w:noVBand="0"/>
      </w:tblPr>
      <w:tblGrid>
        <w:gridCol w:w="4962"/>
        <w:gridCol w:w="3235"/>
        <w:gridCol w:w="734"/>
        <w:gridCol w:w="709"/>
      </w:tblGrid>
      <w:tr w:rsidR="009C78A9" w:rsidRPr="009C78A9" w14:paraId="51B5F683" w14:textId="77777777" w:rsidTr="0077018E">
        <w:trPr>
          <w:trHeight w:val="985"/>
        </w:trPr>
        <w:tc>
          <w:tcPr>
            <w:tcW w:w="4962" w:type="dxa"/>
            <w:shd w:val="clear" w:color="auto" w:fill="auto"/>
          </w:tcPr>
          <w:p w14:paraId="7C408448" w14:textId="77777777" w:rsidR="009C78A9" w:rsidRPr="009C78A9" w:rsidRDefault="009C78A9" w:rsidP="009C78A9">
            <w:pPr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78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Full Name: </w:t>
            </w:r>
          </w:p>
          <w:p w14:paraId="521FBC2F" w14:textId="77777777" w:rsidR="009C78A9" w:rsidRPr="009C78A9" w:rsidRDefault="009C78A9" w:rsidP="009C78A9">
            <w:pPr>
              <w:spacing w:before="120"/>
              <w:ind w:right="-64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left w:w="142" w:type="dxa"/>
            </w:tcMar>
          </w:tcPr>
          <w:p w14:paraId="268344FF" w14:textId="77777777" w:rsidR="009C78A9" w:rsidRPr="009C78A9" w:rsidRDefault="009C78A9" w:rsidP="009C78A9">
            <w:pPr>
              <w:ind w:right="-64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78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Organisation:</w:t>
            </w:r>
          </w:p>
          <w:p w14:paraId="14FAB006" w14:textId="77777777" w:rsidR="009C78A9" w:rsidRPr="009C78A9" w:rsidRDefault="009C78A9" w:rsidP="009C78A9">
            <w:pPr>
              <w:ind w:right="-64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03F914C" w14:textId="77777777" w:rsidR="009C78A9" w:rsidRPr="009C78A9" w:rsidRDefault="009C78A9" w:rsidP="009C78A9">
            <w:pPr>
              <w:ind w:right="-64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C78A9" w:rsidRPr="009C78A9" w14:paraId="50D62090" w14:textId="77777777" w:rsidTr="0077018E">
        <w:trPr>
          <w:trHeight w:val="378"/>
        </w:trPr>
        <w:tc>
          <w:tcPr>
            <w:tcW w:w="964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4CBEDAA1" w14:textId="77777777" w:rsidR="009C78A9" w:rsidRPr="009C78A9" w:rsidRDefault="009C78A9" w:rsidP="00DF1843">
            <w:pPr>
              <w:ind w:right="-646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8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the proposal was discussed and unanimously approved at the </w:t>
            </w:r>
            <w:r w:rsidR="00DF1843">
              <w:rPr>
                <w:rFonts w:ascii="Arial" w:eastAsia="Times New Roman" w:hAnsi="Arial" w:cs="Arial"/>
                <w:b/>
                <w:sz w:val="20"/>
                <w:szCs w:val="20"/>
              </w:rPr>
              <w:t>welfare board</w:t>
            </w:r>
            <w:r w:rsidRPr="009C78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meeting: </w:t>
            </w:r>
          </w:p>
        </w:tc>
      </w:tr>
      <w:tr w:rsidR="009C78A9" w:rsidRPr="009C78A9" w14:paraId="306C8968" w14:textId="77777777" w:rsidTr="0077018E">
        <w:trPr>
          <w:trHeight w:val="1009"/>
        </w:trPr>
        <w:tc>
          <w:tcPr>
            <w:tcW w:w="9640" w:type="dxa"/>
            <w:gridSpan w:val="4"/>
            <w:shd w:val="clear" w:color="auto" w:fill="auto"/>
          </w:tcPr>
          <w:p w14:paraId="41AC187E" w14:textId="77777777" w:rsidR="009C78A9" w:rsidRPr="009C78A9" w:rsidRDefault="009C78A9" w:rsidP="009C78A9">
            <w:pPr>
              <w:ind w:right="-64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8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Steering Group Members (if applicable): </w:t>
            </w:r>
          </w:p>
          <w:p w14:paraId="02346DFF" w14:textId="77777777" w:rsidR="009C78A9" w:rsidRPr="009C78A9" w:rsidRDefault="009C78A9" w:rsidP="009C78A9">
            <w:pPr>
              <w:ind w:right="-64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C78A9" w:rsidRPr="009C78A9" w14:paraId="7693DB9A" w14:textId="77777777" w:rsidTr="0077018E">
        <w:trPr>
          <w:trHeight w:val="632"/>
        </w:trPr>
        <w:tc>
          <w:tcPr>
            <w:tcW w:w="9640" w:type="dxa"/>
            <w:gridSpan w:val="4"/>
            <w:shd w:val="clear" w:color="auto" w:fill="auto"/>
          </w:tcPr>
          <w:p w14:paraId="4EE03658" w14:textId="77777777" w:rsidR="009C78A9" w:rsidRPr="009C78A9" w:rsidRDefault="009C78A9" w:rsidP="009C78A9">
            <w:pPr>
              <w:spacing w:before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7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Purpose of Grant:</w:t>
            </w:r>
          </w:p>
          <w:p w14:paraId="0A91BD77" w14:textId="77777777" w:rsidR="009C78A9" w:rsidRPr="009C78A9" w:rsidRDefault="009C78A9" w:rsidP="009C78A9">
            <w:pPr>
              <w:spacing w:before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1E3C80" w14:textId="77777777" w:rsidR="009C78A9" w:rsidRPr="009C78A9" w:rsidRDefault="009C78A9" w:rsidP="009C78A9">
            <w:pPr>
              <w:spacing w:before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03ABCD" w14:textId="77777777" w:rsidR="009C78A9" w:rsidRPr="009C78A9" w:rsidRDefault="009C78A9" w:rsidP="009C78A9">
            <w:pPr>
              <w:spacing w:before="120"/>
              <w:ind w:right="-64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E2C53F" w14:textId="77777777" w:rsidR="009C78A9" w:rsidRPr="009C78A9" w:rsidRDefault="009C78A9" w:rsidP="009C78A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78A9">
              <w:rPr>
                <w:rFonts w:ascii="Times New Roman" w:eastAsia="Times New Roman" w:hAnsi="Times New Roman" w:cs="Arial Unicode MS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Pr="009C78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9C7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Continue overleaf if necessary…………………</w:t>
            </w:r>
            <w:proofErr w:type="gramStart"/>
            <w:r w:rsidRPr="009C7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…..</w:t>
            </w:r>
            <w:proofErr w:type="gramEnd"/>
          </w:p>
          <w:p w14:paraId="20B5B956" w14:textId="77777777" w:rsidR="009C78A9" w:rsidRPr="009C78A9" w:rsidRDefault="009C78A9" w:rsidP="009C78A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78A9" w:rsidRPr="009C78A9" w14:paraId="235D107B" w14:textId="77777777" w:rsidTr="0077018E">
        <w:trPr>
          <w:trHeight w:val="632"/>
        </w:trPr>
        <w:tc>
          <w:tcPr>
            <w:tcW w:w="9640" w:type="dxa"/>
            <w:gridSpan w:val="4"/>
            <w:shd w:val="clear" w:color="auto" w:fill="auto"/>
          </w:tcPr>
          <w:p w14:paraId="215C881A" w14:textId="77777777" w:rsidR="009C78A9" w:rsidRPr="009C78A9" w:rsidRDefault="009C78A9" w:rsidP="009C78A9">
            <w:pPr>
              <w:spacing w:before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7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Break Down of Costs:</w:t>
            </w:r>
          </w:p>
          <w:p w14:paraId="75DE094F" w14:textId="77777777" w:rsidR="009C78A9" w:rsidRPr="009C78A9" w:rsidRDefault="009C78A9" w:rsidP="009C78A9">
            <w:pPr>
              <w:spacing w:before="12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21820EC" w14:textId="77777777" w:rsidR="009C78A9" w:rsidRPr="009C78A9" w:rsidRDefault="009C78A9" w:rsidP="009C78A9">
            <w:pPr>
              <w:spacing w:before="12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2B3D613" w14:textId="77777777" w:rsidR="009C78A9" w:rsidRPr="009C78A9" w:rsidRDefault="009C78A9" w:rsidP="009C78A9">
            <w:pPr>
              <w:spacing w:before="12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82876A9" w14:textId="77777777" w:rsidR="009C78A9" w:rsidRPr="009C78A9" w:rsidRDefault="009C78A9" w:rsidP="009C78A9">
            <w:pPr>
              <w:spacing w:before="12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C78A9" w:rsidRPr="009C78A9" w14:paraId="644A8283" w14:textId="77777777" w:rsidTr="0077018E">
        <w:tc>
          <w:tcPr>
            <w:tcW w:w="8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056A" w14:textId="77777777" w:rsidR="009C78A9" w:rsidRPr="009C78A9" w:rsidRDefault="009C78A9" w:rsidP="009C78A9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7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 Applied for from Port Levy Scheme</w:t>
            </w:r>
          </w:p>
        </w:tc>
        <w:tc>
          <w:tcPr>
            <w:tcW w:w="7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29F55" w14:textId="77777777" w:rsidR="009C78A9" w:rsidRPr="009C78A9" w:rsidRDefault="009C78A9" w:rsidP="009C78A9">
            <w:pPr>
              <w:spacing w:before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7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1741F8" w14:textId="77777777" w:rsidR="009C78A9" w:rsidRPr="009C78A9" w:rsidRDefault="009C78A9" w:rsidP="009C78A9">
            <w:pPr>
              <w:spacing w:before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97DC564" w14:textId="77777777" w:rsidR="009C78A9" w:rsidRPr="009C78A9" w:rsidRDefault="009C78A9" w:rsidP="009C78A9">
      <w:pPr>
        <w:rPr>
          <w:rFonts w:ascii="Times New Roman" w:eastAsia="Times New Roman" w:hAnsi="Times New Roman" w:cs="Arial Unicode MS"/>
          <w:color w:val="000000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3" w:type="dxa"/>
        </w:tblCellMar>
        <w:tblLook w:val="0000" w:firstRow="0" w:lastRow="0" w:firstColumn="0" w:lastColumn="0" w:noHBand="0" w:noVBand="0"/>
      </w:tblPr>
      <w:tblGrid>
        <w:gridCol w:w="9640"/>
      </w:tblGrid>
      <w:tr w:rsidR="009C78A9" w:rsidRPr="009C78A9" w14:paraId="3C87E12D" w14:textId="77777777" w:rsidTr="0077018E">
        <w:tc>
          <w:tcPr>
            <w:tcW w:w="9640" w:type="dxa"/>
            <w:tcBorders>
              <w:bottom w:val="nil"/>
            </w:tcBorders>
          </w:tcPr>
          <w:p w14:paraId="090A5317" w14:textId="77777777" w:rsidR="0077018E" w:rsidRDefault="009C78A9" w:rsidP="009C78A9">
            <w:pPr>
              <w:ind w:right="-65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78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Objectives:</w:t>
            </w:r>
          </w:p>
          <w:p w14:paraId="6C2250F3" w14:textId="77777777" w:rsidR="0077018E" w:rsidRPr="009C78A9" w:rsidRDefault="0077018E" w:rsidP="009C78A9">
            <w:pPr>
              <w:ind w:right="-65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B8871EF" w14:textId="77777777" w:rsidR="009C78A9" w:rsidRPr="009C78A9" w:rsidRDefault="009C78A9" w:rsidP="009C78A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78A9" w:rsidRPr="009C78A9" w14:paraId="0D364AA7" w14:textId="77777777" w:rsidTr="0077018E">
        <w:tc>
          <w:tcPr>
            <w:tcW w:w="9640" w:type="dxa"/>
            <w:tcBorders>
              <w:top w:val="nil"/>
              <w:bottom w:val="nil"/>
            </w:tcBorders>
          </w:tcPr>
          <w:p w14:paraId="43D63EDC" w14:textId="77777777" w:rsidR="009C78A9" w:rsidRPr="009C78A9" w:rsidRDefault="009C78A9" w:rsidP="009C78A9">
            <w:pPr>
              <w:ind w:right="-10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9C78A9" w:rsidRPr="009C78A9" w14:paraId="3BA5091D" w14:textId="77777777" w:rsidTr="0077018E">
        <w:tc>
          <w:tcPr>
            <w:tcW w:w="9640" w:type="dxa"/>
            <w:tcBorders>
              <w:top w:val="nil"/>
              <w:bottom w:val="single" w:sz="4" w:space="0" w:color="auto"/>
            </w:tcBorders>
          </w:tcPr>
          <w:p w14:paraId="76DA9C24" w14:textId="77777777" w:rsidR="009C78A9" w:rsidRPr="009C78A9" w:rsidRDefault="009C78A9" w:rsidP="009C78A9">
            <w:pPr>
              <w:ind w:right="-655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14:paraId="455B7713" w14:textId="77777777" w:rsidR="009C78A9" w:rsidRPr="009C78A9" w:rsidRDefault="009C78A9" w:rsidP="009C78A9">
      <w:pPr>
        <w:ind w:left="-284" w:right="-159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60F3F010" w14:textId="77777777" w:rsidR="009C78A9" w:rsidRPr="009C78A9" w:rsidRDefault="009C78A9" w:rsidP="009C78A9">
      <w:pPr>
        <w:ind w:left="-284" w:right="-15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78A9">
        <w:rPr>
          <w:rFonts w:ascii="Arial" w:eastAsia="Times New Roman" w:hAnsi="Arial" w:cs="Arial"/>
          <w:color w:val="000000"/>
          <w:sz w:val="18"/>
          <w:szCs w:val="18"/>
        </w:rPr>
        <w:t xml:space="preserve">Capital grants from the </w:t>
      </w:r>
      <w:r w:rsidR="00DF1843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  <w:r w:rsidRPr="009C78A9">
        <w:rPr>
          <w:rFonts w:ascii="Arial" w:eastAsia="Times New Roman" w:hAnsi="Arial" w:cs="Arial"/>
          <w:color w:val="000000"/>
          <w:sz w:val="18"/>
          <w:szCs w:val="18"/>
        </w:rPr>
        <w:t xml:space="preserve">Port Levy Scheme are awarded to improve seafarers’ welfare facilities and services. </w:t>
      </w:r>
      <w:r w:rsidR="00DF1843">
        <w:rPr>
          <w:rFonts w:ascii="Arial" w:eastAsia="Times New Roman" w:hAnsi="Arial" w:cs="Arial"/>
          <w:color w:val="000000"/>
          <w:sz w:val="18"/>
          <w:szCs w:val="18"/>
        </w:rPr>
        <w:t>Where appropriate, g</w:t>
      </w:r>
      <w:r w:rsidRPr="009C78A9">
        <w:rPr>
          <w:rFonts w:ascii="Arial" w:eastAsia="Times New Roman" w:hAnsi="Arial" w:cs="Arial"/>
          <w:color w:val="000000"/>
          <w:sz w:val="18"/>
          <w:szCs w:val="18"/>
        </w:rPr>
        <w:t xml:space="preserve">rant applications must be discussed at </w:t>
      </w:r>
      <w:r w:rsidR="00DF1843">
        <w:rPr>
          <w:rFonts w:ascii="Arial" w:eastAsia="Times New Roman" w:hAnsi="Arial" w:cs="Arial"/>
          <w:color w:val="000000"/>
          <w:sz w:val="18"/>
          <w:szCs w:val="18"/>
        </w:rPr>
        <w:t>welfare board m</w:t>
      </w:r>
      <w:r w:rsidRPr="009C78A9">
        <w:rPr>
          <w:rFonts w:ascii="Arial" w:eastAsia="Times New Roman" w:hAnsi="Arial" w:cs="Arial"/>
          <w:color w:val="000000"/>
          <w:sz w:val="18"/>
          <w:szCs w:val="18"/>
        </w:rPr>
        <w:t>eetings and require the unanimous support of the Port Welfare Committee.</w:t>
      </w:r>
    </w:p>
    <w:p w14:paraId="094D7FB1" w14:textId="77777777" w:rsidR="009C78A9" w:rsidRPr="009C78A9" w:rsidRDefault="009C78A9" w:rsidP="009C78A9">
      <w:pPr>
        <w:ind w:left="-284" w:right="-159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D284FA9" w14:textId="77777777" w:rsidR="009C78A9" w:rsidRPr="009C78A9" w:rsidRDefault="009C78A9" w:rsidP="009C78A9">
      <w:pPr>
        <w:ind w:left="-284" w:right="-159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9C78A9">
        <w:rPr>
          <w:rFonts w:ascii="Arial" w:eastAsia="Times New Roman" w:hAnsi="Arial" w:cs="Arial"/>
          <w:b/>
          <w:sz w:val="18"/>
          <w:szCs w:val="18"/>
        </w:rPr>
        <w:t>PLEASE SEND THE COMPLETED APPLICATION FORM TO YOUR PWC MANAGER</w:t>
      </w:r>
      <w:r w:rsidR="00DF1843">
        <w:rPr>
          <w:rFonts w:ascii="Arial" w:eastAsia="Times New Roman" w:hAnsi="Arial" w:cs="Arial"/>
          <w:b/>
          <w:sz w:val="18"/>
          <w:szCs w:val="18"/>
        </w:rPr>
        <w:t>/ADMINISTRATOR</w:t>
      </w:r>
    </w:p>
    <w:p w14:paraId="0E85069A" w14:textId="77777777" w:rsidR="009C78A9" w:rsidRPr="009C78A9" w:rsidRDefault="00DF1843" w:rsidP="009C78A9">
      <w:pPr>
        <w:ind w:left="-284" w:right="-159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t>Email address………</w:t>
      </w:r>
    </w:p>
    <w:p w14:paraId="205AED55" w14:textId="77777777" w:rsidR="009C78A9" w:rsidRPr="009C78A9" w:rsidRDefault="009C78A9" w:rsidP="009C78A9">
      <w:pPr>
        <w:rPr>
          <w:rFonts w:ascii="Times New Roman" w:eastAsia="Times New Roman" w:hAnsi="Times New Roman" w:cs="Arial Unicode MS"/>
          <w:color w:val="000000"/>
          <w:sz w:val="24"/>
          <w:szCs w:val="26"/>
        </w:rPr>
      </w:pPr>
    </w:p>
    <w:p w14:paraId="5B4F8FDF" w14:textId="77777777" w:rsidR="009C78A9" w:rsidRPr="009C78A9" w:rsidRDefault="009C78A9" w:rsidP="009C78A9">
      <w:pPr>
        <w:rPr>
          <w:rFonts w:ascii="Times New Roman" w:eastAsia="Times New Roman" w:hAnsi="Times New Roman" w:cs="Arial Unicode MS"/>
          <w:color w:val="000000"/>
          <w:sz w:val="24"/>
          <w:szCs w:val="26"/>
        </w:rPr>
      </w:pPr>
    </w:p>
    <w:p w14:paraId="164F4E7B" w14:textId="77777777" w:rsidR="009C78A9" w:rsidRPr="009C78A9" w:rsidRDefault="009C78A9" w:rsidP="009C78A9">
      <w:pPr>
        <w:rPr>
          <w:rFonts w:ascii="Times New Roman" w:eastAsia="Times New Roman" w:hAnsi="Times New Roman" w:cs="Arial Unicode MS"/>
          <w:color w:val="000000"/>
          <w:sz w:val="24"/>
          <w:szCs w:val="26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7018E" w:rsidRPr="009C78A9" w14:paraId="28F99B63" w14:textId="77777777" w:rsidTr="0077018E">
        <w:trPr>
          <w:trHeight w:val="8473"/>
        </w:trPr>
        <w:tc>
          <w:tcPr>
            <w:tcW w:w="9464" w:type="dxa"/>
            <w:shd w:val="clear" w:color="auto" w:fill="auto"/>
          </w:tcPr>
          <w:p w14:paraId="7B8290CF" w14:textId="77777777" w:rsidR="0077018E" w:rsidRPr="009C78A9" w:rsidRDefault="0077018E" w:rsidP="0077018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AFA4404" w14:textId="77777777" w:rsidR="0077018E" w:rsidRPr="009C78A9" w:rsidRDefault="0077018E" w:rsidP="007701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7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INTERNAL USE ONLY</w:t>
            </w:r>
            <w:r w:rsidRPr="009C7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Date application received………………………………</w:t>
            </w:r>
          </w:p>
          <w:p w14:paraId="4E10402B" w14:textId="77777777" w:rsidR="0077018E" w:rsidRPr="009C78A9" w:rsidRDefault="0077018E" w:rsidP="007701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07A8EFB" w14:textId="77777777" w:rsidR="0077018E" w:rsidRPr="009C78A9" w:rsidRDefault="0077018E" w:rsidP="0077018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C7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Outcome:</w:t>
            </w:r>
          </w:p>
          <w:p w14:paraId="58CC1976" w14:textId="77777777" w:rsidR="0077018E" w:rsidRPr="009C78A9" w:rsidRDefault="0077018E" w:rsidP="0077018E">
            <w:pPr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</w:rPr>
            </w:pPr>
          </w:p>
        </w:tc>
      </w:tr>
    </w:tbl>
    <w:p w14:paraId="0ACADE70" w14:textId="77777777" w:rsidR="009C78A9" w:rsidRPr="009C78A9" w:rsidRDefault="009C78A9" w:rsidP="009C78A9">
      <w:pPr>
        <w:rPr>
          <w:rFonts w:ascii="Times New Roman" w:eastAsia="Times New Roman" w:hAnsi="Times New Roman" w:cs="Arial Unicode MS"/>
          <w:color w:val="000000"/>
          <w:sz w:val="24"/>
          <w:szCs w:val="26"/>
        </w:rPr>
      </w:pPr>
    </w:p>
    <w:p w14:paraId="23C42E61" w14:textId="77777777" w:rsidR="009C78A9" w:rsidRPr="006B7984" w:rsidRDefault="009C78A9" w:rsidP="003F7DAE">
      <w:pPr>
        <w:jc w:val="both"/>
        <w:rPr>
          <w:rFonts w:asciiTheme="minorHAnsi" w:hAnsiTheme="minorHAnsi"/>
          <w:bCs/>
          <w:lang w:eastAsia="en-GB"/>
        </w:rPr>
      </w:pPr>
    </w:p>
    <w:sectPr w:rsidR="009C78A9" w:rsidRPr="006B7984" w:rsidSect="00666940">
      <w:footerReference w:type="default" r:id="rId9"/>
      <w:pgSz w:w="11906" w:h="16838"/>
      <w:pgMar w:top="42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2C0D" w14:textId="77777777" w:rsidR="009F2B28" w:rsidRDefault="009F2B28" w:rsidP="003F7DAE">
      <w:r>
        <w:separator/>
      </w:r>
    </w:p>
  </w:endnote>
  <w:endnote w:type="continuationSeparator" w:id="0">
    <w:p w14:paraId="7D8B9B1A" w14:textId="77777777" w:rsidR="009F2B28" w:rsidRDefault="009F2B28" w:rsidP="003F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115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355D9" w14:textId="77777777" w:rsidR="003F7DAE" w:rsidRDefault="003F7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3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412944" w14:textId="77777777" w:rsidR="003F7DAE" w:rsidRDefault="003F7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188A" w14:textId="77777777" w:rsidR="009F2B28" w:rsidRDefault="009F2B28" w:rsidP="003F7DAE">
      <w:r>
        <w:separator/>
      </w:r>
    </w:p>
  </w:footnote>
  <w:footnote w:type="continuationSeparator" w:id="0">
    <w:p w14:paraId="134216D5" w14:textId="77777777" w:rsidR="009F2B28" w:rsidRDefault="009F2B28" w:rsidP="003F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377"/>
    <w:multiLevelType w:val="multilevel"/>
    <w:tmpl w:val="E278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40F3"/>
    <w:multiLevelType w:val="hybridMultilevel"/>
    <w:tmpl w:val="23B8D03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7ED7"/>
    <w:multiLevelType w:val="multilevel"/>
    <w:tmpl w:val="A0740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D294B"/>
    <w:multiLevelType w:val="hybridMultilevel"/>
    <w:tmpl w:val="548C0E0C"/>
    <w:lvl w:ilvl="0" w:tplc="F85A3814">
      <w:start w:val="1"/>
      <w:numFmt w:val="decimal"/>
      <w:lvlText w:val="%1."/>
      <w:lvlJc w:val="left"/>
      <w:pPr>
        <w:tabs>
          <w:tab w:val="num" w:pos="1440"/>
        </w:tabs>
        <w:ind w:left="1588" w:hanging="508"/>
      </w:pPr>
      <w:rPr>
        <w:rFonts w:hint="default"/>
      </w:rPr>
    </w:lvl>
    <w:lvl w:ilvl="1" w:tplc="5492CCF6">
      <w:start w:val="1"/>
      <w:numFmt w:val="lowerLetter"/>
      <w:lvlText w:val="(%2)"/>
      <w:lvlJc w:val="left"/>
      <w:pPr>
        <w:tabs>
          <w:tab w:val="num" w:pos="1077"/>
        </w:tabs>
        <w:ind w:left="1474" w:hanging="39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F5E0C"/>
    <w:multiLevelType w:val="hybridMultilevel"/>
    <w:tmpl w:val="818427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E995E8D"/>
    <w:multiLevelType w:val="hybridMultilevel"/>
    <w:tmpl w:val="02605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8D27005"/>
    <w:multiLevelType w:val="hybridMultilevel"/>
    <w:tmpl w:val="B5A89C24"/>
    <w:lvl w:ilvl="0" w:tplc="2F926D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F51FE"/>
    <w:multiLevelType w:val="hybridMultilevel"/>
    <w:tmpl w:val="7A0E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9F"/>
    <w:rsid w:val="00014B37"/>
    <w:rsid w:val="00037C60"/>
    <w:rsid w:val="00054901"/>
    <w:rsid w:val="000664F2"/>
    <w:rsid w:val="00082704"/>
    <w:rsid w:val="00086EDD"/>
    <w:rsid w:val="000B0055"/>
    <w:rsid w:val="000D185D"/>
    <w:rsid w:val="000F2BD1"/>
    <w:rsid w:val="00107D56"/>
    <w:rsid w:val="00111E2A"/>
    <w:rsid w:val="0016214F"/>
    <w:rsid w:val="0016416F"/>
    <w:rsid w:val="001B5E3E"/>
    <w:rsid w:val="001D4843"/>
    <w:rsid w:val="001E5F59"/>
    <w:rsid w:val="002865F6"/>
    <w:rsid w:val="00313790"/>
    <w:rsid w:val="00337A26"/>
    <w:rsid w:val="00354E48"/>
    <w:rsid w:val="003A4D2D"/>
    <w:rsid w:val="003B4A85"/>
    <w:rsid w:val="003F7DAE"/>
    <w:rsid w:val="00401E60"/>
    <w:rsid w:val="00434DA3"/>
    <w:rsid w:val="004534D0"/>
    <w:rsid w:val="00455113"/>
    <w:rsid w:val="004638E4"/>
    <w:rsid w:val="00492D4C"/>
    <w:rsid w:val="004A05B9"/>
    <w:rsid w:val="004A0FD5"/>
    <w:rsid w:val="004D506E"/>
    <w:rsid w:val="004E5D25"/>
    <w:rsid w:val="004F6A8B"/>
    <w:rsid w:val="005665D9"/>
    <w:rsid w:val="005B770E"/>
    <w:rsid w:val="00604577"/>
    <w:rsid w:val="0062397E"/>
    <w:rsid w:val="00666940"/>
    <w:rsid w:val="00672ADE"/>
    <w:rsid w:val="0067470C"/>
    <w:rsid w:val="00680BEC"/>
    <w:rsid w:val="006A70EA"/>
    <w:rsid w:val="006B7984"/>
    <w:rsid w:val="006D2861"/>
    <w:rsid w:val="006E145A"/>
    <w:rsid w:val="007053EC"/>
    <w:rsid w:val="00743462"/>
    <w:rsid w:val="0077018E"/>
    <w:rsid w:val="00775545"/>
    <w:rsid w:val="00784153"/>
    <w:rsid w:val="00785E4B"/>
    <w:rsid w:val="007C17BA"/>
    <w:rsid w:val="007E2D10"/>
    <w:rsid w:val="00802C46"/>
    <w:rsid w:val="00821F03"/>
    <w:rsid w:val="00850466"/>
    <w:rsid w:val="00854DA6"/>
    <w:rsid w:val="00854ED3"/>
    <w:rsid w:val="008A1294"/>
    <w:rsid w:val="008B42C8"/>
    <w:rsid w:val="00940C77"/>
    <w:rsid w:val="0098526E"/>
    <w:rsid w:val="00985517"/>
    <w:rsid w:val="009C78A9"/>
    <w:rsid w:val="009E4BDE"/>
    <w:rsid w:val="009E59B3"/>
    <w:rsid w:val="009F2B28"/>
    <w:rsid w:val="00A12975"/>
    <w:rsid w:val="00A219DE"/>
    <w:rsid w:val="00A44343"/>
    <w:rsid w:val="00A51A56"/>
    <w:rsid w:val="00A955EB"/>
    <w:rsid w:val="00AE6E8A"/>
    <w:rsid w:val="00AF602A"/>
    <w:rsid w:val="00B01323"/>
    <w:rsid w:val="00B12BB9"/>
    <w:rsid w:val="00B42C61"/>
    <w:rsid w:val="00B66A9F"/>
    <w:rsid w:val="00B7749B"/>
    <w:rsid w:val="00B8680D"/>
    <w:rsid w:val="00BA6EF2"/>
    <w:rsid w:val="00BE5B19"/>
    <w:rsid w:val="00C21D23"/>
    <w:rsid w:val="00C24952"/>
    <w:rsid w:val="00C567C3"/>
    <w:rsid w:val="00C738F0"/>
    <w:rsid w:val="00C83B7F"/>
    <w:rsid w:val="00CB1889"/>
    <w:rsid w:val="00CC7321"/>
    <w:rsid w:val="00CC7567"/>
    <w:rsid w:val="00D03772"/>
    <w:rsid w:val="00D23599"/>
    <w:rsid w:val="00D35CAF"/>
    <w:rsid w:val="00D70F8A"/>
    <w:rsid w:val="00D7534B"/>
    <w:rsid w:val="00DF1843"/>
    <w:rsid w:val="00E00F8E"/>
    <w:rsid w:val="00E0490E"/>
    <w:rsid w:val="00E25176"/>
    <w:rsid w:val="00E26CA9"/>
    <w:rsid w:val="00E356ED"/>
    <w:rsid w:val="00E74BF0"/>
    <w:rsid w:val="00EA3A79"/>
    <w:rsid w:val="00EA3F3C"/>
    <w:rsid w:val="00EC79E9"/>
    <w:rsid w:val="00EF740A"/>
    <w:rsid w:val="00F02649"/>
    <w:rsid w:val="00F3322B"/>
    <w:rsid w:val="00F53C1E"/>
    <w:rsid w:val="00F72378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73C2"/>
  <w15:docId w15:val="{41E269C6-8547-4B95-8BA5-2020D934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100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9F"/>
    <w:pPr>
      <w:ind w:left="0"/>
      <w:jc w:val="left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A9F"/>
    <w:pPr>
      <w:ind w:left="720"/>
    </w:pPr>
  </w:style>
  <w:style w:type="paragraph" w:customStyle="1" w:styleId="Vorgabetext">
    <w:name w:val="Vorgabetext"/>
    <w:basedOn w:val="Normal"/>
    <w:next w:val="Normal"/>
    <w:uiPriority w:val="99"/>
    <w:rsid w:val="00E0490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A4D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4D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7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A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F7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DAE"/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0D18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6940"/>
    <w:pPr>
      <w:ind w:left="0"/>
      <w:jc w:val="left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7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Parsons</dc:creator>
  <cp:lastModifiedBy>Stuart Rivers</cp:lastModifiedBy>
  <cp:revision>2</cp:revision>
  <cp:lastPrinted>2015-03-02T10:29:00Z</cp:lastPrinted>
  <dcterms:created xsi:type="dcterms:W3CDTF">2021-10-19T08:35:00Z</dcterms:created>
  <dcterms:modified xsi:type="dcterms:W3CDTF">2021-10-19T08:35:00Z</dcterms:modified>
</cp:coreProperties>
</file>